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B3C" w:rsidRPr="00487E30" w:rsidRDefault="00347B3C" w:rsidP="00347B3C">
      <w:pPr>
        <w:pStyle w:val="Rodap"/>
        <w:tabs>
          <w:tab w:val="left" w:pos="7797"/>
        </w:tabs>
        <w:rPr>
          <w:b/>
          <w:bCs/>
          <w:color w:val="FF0000"/>
        </w:rPr>
      </w:pPr>
      <w:r w:rsidRPr="00487E30">
        <w:rPr>
          <w:b/>
          <w:bCs/>
          <w:color w:val="FF0000"/>
        </w:rPr>
        <w:t>taxa</w:t>
      </w:r>
    </w:p>
    <w:p w:rsidR="00347B3C" w:rsidRPr="00487E30" w:rsidRDefault="00347B3C" w:rsidP="00347B3C">
      <w:pPr>
        <w:pStyle w:val="Rodap"/>
        <w:rPr>
          <w:b/>
          <w:bCs/>
          <w:color w:val="FF0000"/>
        </w:rPr>
      </w:pPr>
      <w:r>
        <w:rPr>
          <w:noProof/>
          <w:lang w:eastAsia="pt-BR"/>
        </w:rPr>
        <w:drawing>
          <wp:anchor distT="0" distB="0" distL="114300" distR="114300" simplePos="0" relativeHeight="251929600" behindDoc="0" locked="0" layoutInCell="0" allowOverlap="1">
            <wp:simplePos x="0" y="0"/>
            <wp:positionH relativeFrom="column">
              <wp:posOffset>-622935</wp:posOffset>
            </wp:positionH>
            <wp:positionV relativeFrom="paragraph">
              <wp:posOffset>-351790</wp:posOffset>
            </wp:positionV>
            <wp:extent cx="2269490" cy="671830"/>
            <wp:effectExtent l="0" t="0" r="0" b="0"/>
            <wp:wrapNone/>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949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B3C" w:rsidRPr="00487E30" w:rsidRDefault="00347B3C" w:rsidP="00347B3C">
      <w:pPr>
        <w:jc w:val="center"/>
        <w:rPr>
          <w:b/>
          <w:bCs/>
          <w:color w:val="FF0000"/>
          <w:sz w:val="24"/>
          <w:szCs w:val="24"/>
        </w:rPr>
      </w:pPr>
    </w:p>
    <w:p w:rsidR="00347B3C" w:rsidRPr="00487E30" w:rsidRDefault="00347B3C" w:rsidP="00347B3C">
      <w:pPr>
        <w:rPr>
          <w:b/>
          <w:bCs/>
          <w:color w:val="FF0000"/>
        </w:rPr>
      </w:pPr>
    </w:p>
    <w:p w:rsidR="00347B3C" w:rsidRPr="00487E30" w:rsidRDefault="00347B3C" w:rsidP="00347B3C">
      <w:pPr>
        <w:rPr>
          <w:b/>
          <w:bCs/>
          <w:color w:val="FF0000"/>
        </w:rPr>
      </w:pPr>
    </w:p>
    <w:p w:rsidR="00347B3C" w:rsidRPr="00487E30" w:rsidRDefault="00347B3C" w:rsidP="00347B3C">
      <w:pPr>
        <w:rPr>
          <w:b/>
          <w:bCs/>
          <w:color w:val="FF0000"/>
        </w:rPr>
      </w:pPr>
    </w:p>
    <w:p w:rsidR="00347B3C" w:rsidRPr="00487E30" w:rsidRDefault="00347B3C" w:rsidP="00347B3C">
      <w:pPr>
        <w:rPr>
          <w:b/>
          <w:bCs/>
          <w:color w:val="FF0000"/>
        </w:rPr>
      </w:pPr>
    </w:p>
    <w:p w:rsidR="00347B3C" w:rsidRPr="00487E30" w:rsidRDefault="00347B3C" w:rsidP="00347B3C">
      <w:pPr>
        <w:rPr>
          <w:b/>
          <w:bCs/>
          <w:color w:val="FF0000"/>
        </w:rPr>
      </w:pPr>
    </w:p>
    <w:p w:rsidR="00347B3C" w:rsidRPr="00487E30" w:rsidRDefault="00347B3C" w:rsidP="00347B3C">
      <w:pPr>
        <w:rPr>
          <w:b/>
          <w:bCs/>
          <w:color w:val="FF0000"/>
        </w:rPr>
      </w:pPr>
    </w:p>
    <w:p w:rsidR="00347B3C" w:rsidRPr="00487E30" w:rsidRDefault="00347B3C" w:rsidP="00347B3C">
      <w:pPr>
        <w:rPr>
          <w:b/>
          <w:bCs/>
          <w:color w:val="FF0000"/>
        </w:rPr>
      </w:pPr>
    </w:p>
    <w:p w:rsidR="00347B3C" w:rsidRPr="00487E30" w:rsidRDefault="00347B3C" w:rsidP="00347B3C">
      <w:pPr>
        <w:rPr>
          <w:b/>
          <w:bCs/>
          <w:color w:val="FF0000"/>
        </w:rPr>
      </w:pPr>
    </w:p>
    <w:p w:rsidR="00347B3C" w:rsidRPr="00487E30" w:rsidRDefault="00347B3C" w:rsidP="00347B3C">
      <w:pPr>
        <w:rPr>
          <w:b/>
          <w:bCs/>
          <w:color w:val="FF0000"/>
        </w:rPr>
      </w:pPr>
    </w:p>
    <w:p w:rsidR="00347B3C" w:rsidRPr="00487E30" w:rsidRDefault="00347B3C" w:rsidP="00347B3C">
      <w:pPr>
        <w:rPr>
          <w:b/>
          <w:bCs/>
          <w:color w:val="FF0000"/>
        </w:rPr>
      </w:pPr>
    </w:p>
    <w:p w:rsidR="00347B3C" w:rsidRPr="00487E30" w:rsidRDefault="00347B3C" w:rsidP="00347B3C">
      <w:pPr>
        <w:rPr>
          <w:b/>
          <w:bCs/>
          <w:color w:val="FF0000"/>
        </w:rPr>
      </w:pPr>
    </w:p>
    <w:p w:rsidR="00347B3C" w:rsidRPr="00487E30" w:rsidRDefault="00347B3C" w:rsidP="00347B3C">
      <w:pPr>
        <w:rPr>
          <w:b/>
          <w:bCs/>
          <w:color w:val="FF0000"/>
        </w:rPr>
      </w:pPr>
    </w:p>
    <w:p w:rsidR="00347B3C" w:rsidRPr="00733483" w:rsidRDefault="00347B3C" w:rsidP="00347B3C">
      <w:pPr>
        <w:jc w:val="center"/>
        <w:rPr>
          <w:rFonts w:ascii="Aero" w:hAnsi="Aero" w:cs="Aero"/>
          <w:b/>
          <w:bCs/>
          <w:sz w:val="68"/>
          <w:szCs w:val="68"/>
        </w:rPr>
      </w:pPr>
      <w:r w:rsidRPr="00733483">
        <w:rPr>
          <w:rFonts w:ascii="Aero" w:hAnsi="Aero" w:cs="Aero"/>
          <w:b/>
          <w:bCs/>
          <w:sz w:val="68"/>
          <w:szCs w:val="68"/>
        </w:rPr>
        <w:t>Indicadores IBGE</w:t>
      </w:r>
    </w:p>
    <w:p w:rsidR="00347B3C" w:rsidRPr="00733483" w:rsidRDefault="00347B3C" w:rsidP="00347B3C">
      <w:pPr>
        <w:tabs>
          <w:tab w:val="left" w:pos="4996"/>
        </w:tabs>
        <w:rPr>
          <w:rFonts w:ascii="Aero" w:hAnsi="Aero" w:cs="Aero"/>
          <w:b/>
          <w:bCs/>
          <w:sz w:val="28"/>
          <w:szCs w:val="28"/>
        </w:rPr>
      </w:pPr>
      <w:r w:rsidRPr="00733483">
        <w:rPr>
          <w:rFonts w:ascii="Aero" w:hAnsi="Aero" w:cs="Aero"/>
          <w:b/>
          <w:bCs/>
          <w:sz w:val="28"/>
          <w:szCs w:val="28"/>
        </w:rPr>
        <w:tab/>
      </w:r>
    </w:p>
    <w:p w:rsidR="00347B3C" w:rsidRPr="00733483" w:rsidRDefault="00347B3C" w:rsidP="00347B3C">
      <w:pPr>
        <w:jc w:val="center"/>
        <w:rPr>
          <w:rFonts w:ascii="Aero" w:hAnsi="Aero" w:cs="Aero"/>
          <w:b/>
          <w:bCs/>
          <w:sz w:val="28"/>
          <w:szCs w:val="28"/>
        </w:rPr>
      </w:pPr>
    </w:p>
    <w:p w:rsidR="00347B3C" w:rsidRPr="00733483" w:rsidRDefault="00347B3C" w:rsidP="00347B3C">
      <w:pPr>
        <w:jc w:val="center"/>
        <w:rPr>
          <w:rFonts w:ascii="Aero" w:hAnsi="Aero" w:cs="Aero"/>
          <w:b/>
          <w:bCs/>
          <w:sz w:val="28"/>
          <w:szCs w:val="28"/>
        </w:rPr>
      </w:pPr>
    </w:p>
    <w:p w:rsidR="00347B3C" w:rsidRPr="00733483" w:rsidRDefault="00347B3C" w:rsidP="00347B3C">
      <w:pPr>
        <w:jc w:val="center"/>
        <w:rPr>
          <w:rFonts w:ascii="Aero" w:hAnsi="Aero" w:cs="Aero"/>
          <w:b/>
          <w:bCs/>
          <w:sz w:val="28"/>
          <w:szCs w:val="28"/>
        </w:rPr>
      </w:pPr>
    </w:p>
    <w:p w:rsidR="00347B3C" w:rsidRPr="00733483" w:rsidRDefault="00347B3C" w:rsidP="00347B3C">
      <w:pPr>
        <w:jc w:val="center"/>
        <w:rPr>
          <w:rFonts w:ascii="Aero" w:hAnsi="Aero" w:cs="Aero"/>
          <w:b/>
          <w:bCs/>
          <w:sz w:val="28"/>
          <w:szCs w:val="28"/>
        </w:rPr>
      </w:pPr>
    </w:p>
    <w:p w:rsidR="00347B3C" w:rsidRPr="00733483" w:rsidRDefault="00347B3C" w:rsidP="00347B3C">
      <w:pPr>
        <w:jc w:val="center"/>
        <w:rPr>
          <w:rFonts w:ascii="Aero" w:hAnsi="Aero" w:cs="Aero"/>
          <w:b/>
          <w:bCs/>
          <w:sz w:val="28"/>
          <w:szCs w:val="28"/>
        </w:rPr>
      </w:pPr>
    </w:p>
    <w:p w:rsidR="00347B3C" w:rsidRPr="00733483" w:rsidRDefault="00347B3C" w:rsidP="00347B3C">
      <w:pPr>
        <w:jc w:val="center"/>
        <w:rPr>
          <w:rFonts w:ascii="Aero" w:hAnsi="Aero" w:cs="Aero"/>
          <w:b/>
          <w:bCs/>
          <w:sz w:val="28"/>
          <w:szCs w:val="28"/>
        </w:rPr>
      </w:pPr>
    </w:p>
    <w:p w:rsidR="00347B3C" w:rsidRPr="00733483" w:rsidRDefault="00347B3C" w:rsidP="00347B3C">
      <w:pPr>
        <w:jc w:val="center"/>
        <w:rPr>
          <w:rFonts w:ascii="Aero" w:hAnsi="Aero" w:cs="Aero"/>
          <w:b/>
          <w:bCs/>
          <w:sz w:val="28"/>
          <w:szCs w:val="28"/>
        </w:rPr>
      </w:pPr>
    </w:p>
    <w:p w:rsidR="00347B3C" w:rsidRPr="00733483" w:rsidRDefault="00347B3C" w:rsidP="00347B3C">
      <w:pPr>
        <w:jc w:val="center"/>
        <w:rPr>
          <w:rFonts w:ascii="Aero" w:hAnsi="Aero" w:cs="Aero"/>
          <w:b/>
          <w:bCs/>
          <w:sz w:val="28"/>
          <w:szCs w:val="28"/>
        </w:rPr>
      </w:pPr>
    </w:p>
    <w:p w:rsidR="00347B3C" w:rsidRPr="00733483" w:rsidRDefault="00347B3C" w:rsidP="00347B3C">
      <w:pPr>
        <w:jc w:val="center"/>
        <w:rPr>
          <w:rFonts w:ascii="Aero" w:hAnsi="Aero" w:cs="Aero"/>
          <w:b/>
          <w:bCs/>
          <w:sz w:val="28"/>
          <w:szCs w:val="28"/>
        </w:rPr>
      </w:pPr>
    </w:p>
    <w:p w:rsidR="00347B3C" w:rsidRPr="00347B3C" w:rsidRDefault="00347B3C" w:rsidP="00347B3C">
      <w:pPr>
        <w:pStyle w:val="Ttulo2"/>
        <w:keepLines w:val="0"/>
        <w:suppressAutoHyphens w:val="0"/>
        <w:spacing w:before="0"/>
        <w:ind w:firstLine="0"/>
        <w:jc w:val="center"/>
        <w:rPr>
          <w:rFonts w:ascii="Aero" w:eastAsia="Times New Roman" w:hAnsi="Aero" w:cs="Aero"/>
          <w:color w:val="auto"/>
          <w:sz w:val="36"/>
          <w:szCs w:val="36"/>
          <w:lang w:eastAsia="pt-BR"/>
        </w:rPr>
      </w:pPr>
      <w:r w:rsidRPr="00347B3C">
        <w:rPr>
          <w:rFonts w:ascii="Aero" w:eastAsia="Times New Roman" w:hAnsi="Aero" w:cs="Aero"/>
          <w:color w:val="auto"/>
          <w:sz w:val="36"/>
          <w:szCs w:val="36"/>
          <w:lang w:eastAsia="pt-BR"/>
        </w:rPr>
        <w:t>Pesquisa Nacional por Amostra de Domicílios Contínua</w:t>
      </w:r>
    </w:p>
    <w:p w:rsidR="001A7E4F" w:rsidRDefault="00347B3C" w:rsidP="00347B3C">
      <w:pPr>
        <w:pStyle w:val="Ttulo2"/>
        <w:keepLines w:val="0"/>
        <w:suppressAutoHyphens w:val="0"/>
        <w:spacing w:before="0"/>
        <w:ind w:firstLine="0"/>
        <w:jc w:val="center"/>
        <w:rPr>
          <w:rFonts w:ascii="Aero" w:eastAsia="Times New Roman" w:hAnsi="Aero" w:cs="Aero"/>
          <w:color w:val="auto"/>
          <w:sz w:val="36"/>
          <w:szCs w:val="36"/>
          <w:lang w:eastAsia="pt-BR"/>
        </w:rPr>
      </w:pPr>
      <w:r w:rsidRPr="00347B3C">
        <w:rPr>
          <w:rFonts w:ascii="Aero" w:eastAsia="Times New Roman" w:hAnsi="Aero" w:cs="Aero"/>
          <w:color w:val="auto"/>
          <w:sz w:val="36"/>
          <w:szCs w:val="36"/>
          <w:lang w:eastAsia="pt-BR"/>
        </w:rPr>
        <w:t>Divulgação Especial</w:t>
      </w:r>
      <w:r w:rsidR="001A7E4F">
        <w:rPr>
          <w:rFonts w:ascii="Aero" w:eastAsia="Times New Roman" w:hAnsi="Aero" w:cs="Aero"/>
          <w:color w:val="auto"/>
          <w:sz w:val="36"/>
          <w:szCs w:val="36"/>
          <w:lang w:eastAsia="pt-BR"/>
        </w:rPr>
        <w:t xml:space="preserve"> </w:t>
      </w:r>
    </w:p>
    <w:p w:rsidR="00347B3C" w:rsidRPr="00347B3C" w:rsidRDefault="00E65A40" w:rsidP="00347B3C">
      <w:pPr>
        <w:pStyle w:val="Ttulo2"/>
        <w:keepLines w:val="0"/>
        <w:suppressAutoHyphens w:val="0"/>
        <w:spacing w:before="0"/>
        <w:ind w:firstLine="0"/>
        <w:jc w:val="center"/>
        <w:rPr>
          <w:rFonts w:ascii="Aero" w:eastAsia="Times New Roman" w:hAnsi="Aero" w:cs="Aero"/>
          <w:color w:val="auto"/>
          <w:sz w:val="36"/>
          <w:szCs w:val="36"/>
          <w:lang w:eastAsia="pt-BR"/>
        </w:rPr>
      </w:pPr>
      <w:r>
        <w:rPr>
          <w:rFonts w:ascii="Aero" w:eastAsia="Times New Roman" w:hAnsi="Aero" w:cs="Aero"/>
          <w:color w:val="auto"/>
          <w:sz w:val="36"/>
          <w:szCs w:val="36"/>
          <w:lang w:eastAsia="pt-BR"/>
        </w:rPr>
        <w:t>Medidas de Subutilização d</w:t>
      </w:r>
      <w:r w:rsidR="001A7E4F">
        <w:rPr>
          <w:rFonts w:ascii="Aero" w:eastAsia="Times New Roman" w:hAnsi="Aero" w:cs="Aero"/>
          <w:color w:val="auto"/>
          <w:sz w:val="36"/>
          <w:szCs w:val="36"/>
          <w:lang w:eastAsia="pt-BR"/>
        </w:rPr>
        <w:t>a Força de Trabalho no Brasil</w:t>
      </w:r>
    </w:p>
    <w:p w:rsidR="00347B3C" w:rsidRPr="00733483" w:rsidRDefault="00347B3C" w:rsidP="00347B3C">
      <w:pPr>
        <w:jc w:val="center"/>
        <w:rPr>
          <w:rFonts w:ascii="Aero" w:hAnsi="Aero" w:cs="Aero"/>
          <w:b/>
          <w:bCs/>
          <w:sz w:val="28"/>
          <w:szCs w:val="28"/>
        </w:rPr>
      </w:pPr>
    </w:p>
    <w:p w:rsidR="00347B3C" w:rsidRPr="00733483" w:rsidRDefault="00347B3C" w:rsidP="00347B3C">
      <w:pPr>
        <w:jc w:val="center"/>
        <w:rPr>
          <w:rFonts w:ascii="Aero" w:hAnsi="Aero" w:cs="Aero"/>
          <w:b/>
          <w:bCs/>
          <w:sz w:val="28"/>
          <w:szCs w:val="28"/>
        </w:rPr>
      </w:pPr>
    </w:p>
    <w:p w:rsidR="00347B3C" w:rsidRPr="00733483" w:rsidRDefault="00347B3C" w:rsidP="00347B3C">
      <w:pPr>
        <w:jc w:val="center"/>
        <w:rPr>
          <w:rFonts w:ascii="Aero" w:hAnsi="Aero" w:cs="Aero"/>
          <w:b/>
          <w:bCs/>
          <w:sz w:val="28"/>
          <w:szCs w:val="28"/>
        </w:rPr>
      </w:pPr>
    </w:p>
    <w:p w:rsidR="00347B3C" w:rsidRPr="00733483" w:rsidRDefault="00347B3C" w:rsidP="00347B3C">
      <w:pPr>
        <w:jc w:val="center"/>
        <w:rPr>
          <w:rFonts w:ascii="Aero" w:hAnsi="Aero" w:cs="Aero"/>
          <w:b/>
          <w:bCs/>
          <w:sz w:val="28"/>
          <w:szCs w:val="28"/>
        </w:rPr>
      </w:pPr>
    </w:p>
    <w:p w:rsidR="00347B3C" w:rsidRPr="00733483" w:rsidRDefault="00347B3C" w:rsidP="00347B3C">
      <w:pPr>
        <w:jc w:val="center"/>
        <w:rPr>
          <w:rFonts w:ascii="Aero" w:hAnsi="Aero" w:cs="Aero"/>
          <w:b/>
          <w:bCs/>
          <w:sz w:val="28"/>
          <w:szCs w:val="28"/>
        </w:rPr>
      </w:pPr>
    </w:p>
    <w:p w:rsidR="00347B3C" w:rsidRDefault="00347B3C" w:rsidP="00347B3C">
      <w:pPr>
        <w:jc w:val="center"/>
        <w:rPr>
          <w:rFonts w:ascii="Aero" w:hAnsi="Aero" w:cs="Aero"/>
          <w:b/>
          <w:bCs/>
          <w:sz w:val="28"/>
          <w:szCs w:val="28"/>
        </w:rPr>
      </w:pPr>
    </w:p>
    <w:p w:rsidR="00347B3C" w:rsidRDefault="00347B3C" w:rsidP="00347B3C">
      <w:pPr>
        <w:jc w:val="center"/>
        <w:rPr>
          <w:rFonts w:ascii="Aero" w:hAnsi="Aero" w:cs="Aero"/>
          <w:b/>
          <w:bCs/>
          <w:sz w:val="28"/>
          <w:szCs w:val="28"/>
        </w:rPr>
      </w:pPr>
    </w:p>
    <w:p w:rsidR="00347B3C" w:rsidRDefault="00347B3C" w:rsidP="00347B3C">
      <w:pPr>
        <w:jc w:val="center"/>
        <w:rPr>
          <w:rFonts w:ascii="Aero" w:hAnsi="Aero" w:cs="Aero"/>
          <w:b/>
          <w:bCs/>
          <w:sz w:val="28"/>
          <w:szCs w:val="28"/>
        </w:rPr>
      </w:pPr>
    </w:p>
    <w:p w:rsidR="00347B3C" w:rsidRPr="00733483" w:rsidRDefault="00347B3C" w:rsidP="00347B3C">
      <w:pPr>
        <w:jc w:val="center"/>
        <w:rPr>
          <w:rFonts w:ascii="Aero" w:hAnsi="Aero" w:cs="Aero"/>
          <w:b/>
          <w:bCs/>
          <w:sz w:val="28"/>
          <w:szCs w:val="28"/>
        </w:rPr>
      </w:pPr>
    </w:p>
    <w:p w:rsidR="00347B3C" w:rsidRPr="00733483" w:rsidRDefault="00347B3C" w:rsidP="00347B3C">
      <w:pPr>
        <w:jc w:val="center"/>
        <w:rPr>
          <w:rFonts w:ascii="Aero" w:hAnsi="Aero" w:cs="Aero"/>
          <w:b/>
          <w:bCs/>
          <w:sz w:val="28"/>
          <w:szCs w:val="28"/>
        </w:rPr>
      </w:pPr>
    </w:p>
    <w:p w:rsidR="00347B3C" w:rsidRPr="00733483" w:rsidRDefault="00347B3C" w:rsidP="00347B3C">
      <w:pPr>
        <w:jc w:val="center"/>
        <w:rPr>
          <w:rFonts w:ascii="Univers" w:hAnsi="Univers" w:cs="Univers"/>
          <w:b/>
          <w:bCs/>
          <w:position w:val="2"/>
          <w:sz w:val="28"/>
          <w:szCs w:val="28"/>
        </w:rPr>
      </w:pPr>
      <w:r>
        <w:rPr>
          <w:noProof/>
          <w:lang w:eastAsia="pt-BR"/>
        </w:rPr>
        <mc:AlternateContent>
          <mc:Choice Requires="wps">
            <w:drawing>
              <wp:anchor distT="4294967293" distB="4294967293" distL="114300" distR="114300" simplePos="0" relativeHeight="251930624" behindDoc="0" locked="0" layoutInCell="0" allowOverlap="1">
                <wp:simplePos x="0" y="0"/>
                <wp:positionH relativeFrom="column">
                  <wp:posOffset>-457200</wp:posOffset>
                </wp:positionH>
                <wp:positionV relativeFrom="paragraph">
                  <wp:posOffset>150494</wp:posOffset>
                </wp:positionV>
                <wp:extent cx="1371600" cy="0"/>
                <wp:effectExtent l="0" t="0" r="0" b="0"/>
                <wp:wrapNone/>
                <wp:docPr id="293" name="Conector reto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AB1034B" id="Conector reto 293" o:spid="_x0000_s1026" style="position:absolute;z-index:251930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pt,11.85pt" to="1in,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" o:allowincell="f" stroked="f"/>
            </w:pict>
          </mc:Fallback>
        </mc:AlternateContent>
      </w:r>
      <w:r w:rsidRPr="00733483">
        <w:rPr>
          <w:rFonts w:ascii="Univers" w:hAnsi="Univers" w:cs="Univers"/>
          <w:b/>
          <w:bCs/>
          <w:position w:val="2"/>
          <w:sz w:val="28"/>
          <w:szCs w:val="28"/>
        </w:rPr>
        <w:t>Instituto Brasileiro de Geografia</w:t>
      </w:r>
    </w:p>
    <w:p w:rsidR="00347B3C" w:rsidRPr="00733483" w:rsidRDefault="00347B3C" w:rsidP="00347B3C">
      <w:pPr>
        <w:pStyle w:val="Textoembloco"/>
        <w:rPr>
          <w:b/>
          <w:bCs/>
        </w:rPr>
      </w:pPr>
      <w:r w:rsidRPr="00733483">
        <w:rPr>
          <w:b/>
          <w:bCs/>
        </w:rPr>
        <w:t>e Estatística - IBGE</w:t>
      </w:r>
    </w:p>
    <w:p w:rsidR="00347B3C" w:rsidRPr="00733483" w:rsidRDefault="00347B3C" w:rsidP="00347B3C">
      <w:pPr>
        <w:rPr>
          <w:b/>
          <w:bCs/>
          <w:position w:val="2"/>
          <w:sz w:val="2"/>
          <w:szCs w:val="2"/>
        </w:rPr>
        <w:sectPr w:rsidR="00347B3C" w:rsidRPr="00733483" w:rsidSect="00C60EE4">
          <w:footerReference w:type="even" r:id="rId9"/>
          <w:footerReference w:type="default" r:id="rId10"/>
          <w:pgSz w:w="11907" w:h="16840" w:code="9"/>
          <w:pgMar w:top="1418" w:right="1134" w:bottom="1168" w:left="1701" w:header="720" w:footer="720" w:gutter="0"/>
          <w:pgNumType w:start="1"/>
          <w:cols w:space="720"/>
          <w:titlePg/>
        </w:sectPr>
      </w:pPr>
    </w:p>
    <w:p w:rsidR="00347B3C" w:rsidRPr="002B1262" w:rsidRDefault="00347B3C" w:rsidP="00347B3C">
      <w:pPr>
        <w:spacing w:line="240" w:lineRule="atLeast"/>
        <w:ind w:firstLine="0"/>
        <w:rPr>
          <w:sz w:val="16"/>
          <w:szCs w:val="16"/>
        </w:rPr>
      </w:pPr>
      <w:r w:rsidRPr="002B1262">
        <w:rPr>
          <w:sz w:val="16"/>
          <w:szCs w:val="16"/>
        </w:rPr>
        <w:lastRenderedPageBreak/>
        <w:t>Presidente da República</w:t>
      </w:r>
    </w:p>
    <w:p w:rsidR="00347B3C" w:rsidRPr="00733483" w:rsidRDefault="00347B3C" w:rsidP="00347B3C">
      <w:pPr>
        <w:spacing w:line="240" w:lineRule="atLeast"/>
        <w:ind w:left="284" w:firstLine="0"/>
        <w:rPr>
          <w:sz w:val="16"/>
          <w:szCs w:val="16"/>
        </w:rPr>
      </w:pPr>
      <w:r w:rsidRPr="002B1262">
        <w:rPr>
          <w:sz w:val="16"/>
          <w:szCs w:val="16"/>
        </w:rPr>
        <w:t>Michel Miguel Elias Temer Lulia</w:t>
      </w:r>
    </w:p>
    <w:p w:rsidR="00347B3C" w:rsidRPr="00733483" w:rsidRDefault="00347B3C" w:rsidP="00347B3C">
      <w:pPr>
        <w:spacing w:line="240" w:lineRule="atLeast"/>
        <w:ind w:firstLine="0"/>
        <w:rPr>
          <w:sz w:val="16"/>
          <w:szCs w:val="16"/>
        </w:rPr>
      </w:pPr>
      <w:r w:rsidRPr="00733483">
        <w:rPr>
          <w:sz w:val="16"/>
          <w:szCs w:val="16"/>
        </w:rPr>
        <w:t xml:space="preserve">Ministro do Planejamento, </w:t>
      </w:r>
      <w:r>
        <w:rPr>
          <w:sz w:val="16"/>
          <w:szCs w:val="16"/>
        </w:rPr>
        <w:t>Desenvolvimento</w:t>
      </w:r>
      <w:r w:rsidRPr="00733483">
        <w:rPr>
          <w:sz w:val="16"/>
          <w:szCs w:val="16"/>
        </w:rPr>
        <w:t xml:space="preserve"> e Gestão</w:t>
      </w:r>
      <w:r>
        <w:rPr>
          <w:sz w:val="16"/>
          <w:szCs w:val="16"/>
        </w:rPr>
        <w:t xml:space="preserve"> (interino)</w:t>
      </w:r>
    </w:p>
    <w:p w:rsidR="00347B3C" w:rsidRPr="00F81848" w:rsidRDefault="00347B3C" w:rsidP="00347B3C">
      <w:pPr>
        <w:autoSpaceDE w:val="0"/>
        <w:autoSpaceDN w:val="0"/>
        <w:adjustRightInd w:val="0"/>
        <w:ind w:left="284" w:firstLine="0"/>
        <w:rPr>
          <w:sz w:val="16"/>
          <w:szCs w:val="16"/>
        </w:rPr>
      </w:pPr>
      <w:r w:rsidRPr="00F81848">
        <w:rPr>
          <w:sz w:val="16"/>
          <w:szCs w:val="16"/>
        </w:rPr>
        <w:t>Dyogo Henrique de Oliveira</w:t>
      </w:r>
    </w:p>
    <w:p w:rsidR="00347B3C" w:rsidRPr="00733483" w:rsidRDefault="00347B3C" w:rsidP="00347B3C">
      <w:pPr>
        <w:spacing w:before="200"/>
        <w:ind w:firstLine="0"/>
        <w:rPr>
          <w:position w:val="2"/>
        </w:rPr>
      </w:pPr>
      <w:r w:rsidRPr="00733483">
        <w:rPr>
          <w:position w:val="2"/>
        </w:rPr>
        <w:t>INSTITUTO BRASILEIRO DE</w:t>
      </w:r>
    </w:p>
    <w:p w:rsidR="00347B3C" w:rsidRPr="00733483" w:rsidRDefault="00347B3C" w:rsidP="00347B3C">
      <w:pPr>
        <w:ind w:firstLine="0"/>
        <w:rPr>
          <w:position w:val="2"/>
        </w:rPr>
      </w:pPr>
      <w:r w:rsidRPr="00733483">
        <w:rPr>
          <w:position w:val="2"/>
        </w:rPr>
        <w:t>GEOGRAFIA E ESTATÍSTICA - IBGE</w:t>
      </w:r>
    </w:p>
    <w:p w:rsidR="00347B3C" w:rsidRPr="00733483" w:rsidRDefault="00347B3C" w:rsidP="00347B3C">
      <w:pPr>
        <w:spacing w:before="200"/>
        <w:ind w:firstLine="0"/>
        <w:rPr>
          <w:position w:val="2"/>
          <w:sz w:val="16"/>
          <w:szCs w:val="16"/>
        </w:rPr>
      </w:pPr>
      <w:r w:rsidRPr="00733483">
        <w:rPr>
          <w:position w:val="2"/>
          <w:sz w:val="16"/>
          <w:szCs w:val="16"/>
        </w:rPr>
        <w:t>President</w:t>
      </w:r>
      <w:r>
        <w:rPr>
          <w:position w:val="2"/>
          <w:sz w:val="16"/>
          <w:szCs w:val="16"/>
        </w:rPr>
        <w:t>e</w:t>
      </w:r>
    </w:p>
    <w:p w:rsidR="00347B3C" w:rsidRPr="00733483" w:rsidRDefault="00347B3C" w:rsidP="00347B3C">
      <w:pPr>
        <w:ind w:firstLine="284"/>
        <w:rPr>
          <w:position w:val="2"/>
          <w:sz w:val="16"/>
          <w:szCs w:val="16"/>
        </w:rPr>
      </w:pPr>
      <w:r>
        <w:rPr>
          <w:sz w:val="16"/>
          <w:szCs w:val="16"/>
        </w:rPr>
        <w:t>Paulo Rabello de Castro</w:t>
      </w:r>
    </w:p>
    <w:p w:rsidR="00347B3C" w:rsidRPr="00733483" w:rsidRDefault="00347B3C" w:rsidP="00347B3C">
      <w:pPr>
        <w:spacing w:before="180"/>
        <w:ind w:firstLine="0"/>
        <w:rPr>
          <w:position w:val="2"/>
          <w:sz w:val="16"/>
          <w:szCs w:val="16"/>
        </w:rPr>
      </w:pPr>
      <w:r w:rsidRPr="00733483">
        <w:rPr>
          <w:position w:val="2"/>
          <w:sz w:val="16"/>
          <w:szCs w:val="16"/>
        </w:rPr>
        <w:t>Diretor Executivo</w:t>
      </w:r>
    </w:p>
    <w:p w:rsidR="00347B3C" w:rsidRPr="00733483" w:rsidRDefault="00347B3C" w:rsidP="00347B3C">
      <w:pPr>
        <w:ind w:firstLine="284"/>
        <w:rPr>
          <w:position w:val="2"/>
          <w:sz w:val="16"/>
          <w:szCs w:val="16"/>
        </w:rPr>
      </w:pPr>
      <w:r w:rsidRPr="00733483">
        <w:rPr>
          <w:sz w:val="16"/>
          <w:szCs w:val="16"/>
        </w:rPr>
        <w:t>Fernando J. Abrantes</w:t>
      </w:r>
    </w:p>
    <w:p w:rsidR="00347B3C" w:rsidRPr="00347B3C" w:rsidRDefault="00347B3C" w:rsidP="00347B3C">
      <w:pPr>
        <w:pStyle w:val="Ttulo3"/>
        <w:keepLines w:val="0"/>
        <w:suppressAutoHyphens w:val="0"/>
        <w:spacing w:before="180"/>
        <w:ind w:firstLine="0"/>
        <w:jc w:val="left"/>
        <w:rPr>
          <w:rFonts w:ascii="Times New Roman" w:eastAsia="Times New Roman" w:hAnsi="Times New Roman" w:cs="Times New Roman"/>
          <w:b w:val="0"/>
          <w:bCs w:val="0"/>
          <w:color w:val="auto"/>
          <w:position w:val="2"/>
          <w:sz w:val="16"/>
          <w:szCs w:val="16"/>
          <w:lang w:eastAsia="pt-BR"/>
        </w:rPr>
      </w:pPr>
      <w:r w:rsidRPr="00347B3C">
        <w:rPr>
          <w:rFonts w:ascii="Times New Roman" w:eastAsia="Times New Roman" w:hAnsi="Times New Roman" w:cs="Times New Roman"/>
          <w:b w:val="0"/>
          <w:bCs w:val="0"/>
          <w:color w:val="auto"/>
          <w:position w:val="2"/>
          <w:sz w:val="16"/>
          <w:szCs w:val="16"/>
          <w:lang w:eastAsia="pt-BR"/>
        </w:rPr>
        <w:t>ÓRGÃOS ESPECÍFICOS SINGULARES</w:t>
      </w:r>
    </w:p>
    <w:p w:rsidR="00347B3C" w:rsidRPr="00733483" w:rsidRDefault="00347B3C" w:rsidP="00347B3C">
      <w:pPr>
        <w:spacing w:before="180"/>
        <w:ind w:firstLine="0"/>
        <w:rPr>
          <w:position w:val="2"/>
          <w:sz w:val="16"/>
          <w:szCs w:val="16"/>
        </w:rPr>
      </w:pPr>
      <w:r w:rsidRPr="00733483">
        <w:rPr>
          <w:position w:val="2"/>
          <w:sz w:val="16"/>
          <w:szCs w:val="16"/>
        </w:rPr>
        <w:t>Diretoria de Pesquisas</w:t>
      </w:r>
    </w:p>
    <w:p w:rsidR="00347B3C" w:rsidRPr="00733483" w:rsidRDefault="00347B3C" w:rsidP="00347B3C">
      <w:pPr>
        <w:ind w:firstLine="284"/>
        <w:rPr>
          <w:sz w:val="16"/>
          <w:szCs w:val="16"/>
        </w:rPr>
      </w:pPr>
      <w:r w:rsidRPr="00733483">
        <w:rPr>
          <w:sz w:val="16"/>
          <w:szCs w:val="16"/>
        </w:rPr>
        <w:t>Roberto Luís Olinto Ramos</w:t>
      </w:r>
    </w:p>
    <w:p w:rsidR="00347B3C" w:rsidRPr="00733483" w:rsidRDefault="00347B3C" w:rsidP="00347B3C">
      <w:pPr>
        <w:spacing w:before="180"/>
        <w:ind w:firstLine="0"/>
        <w:rPr>
          <w:position w:val="2"/>
          <w:sz w:val="16"/>
          <w:szCs w:val="16"/>
        </w:rPr>
      </w:pPr>
      <w:r w:rsidRPr="00733483">
        <w:rPr>
          <w:position w:val="2"/>
          <w:sz w:val="16"/>
          <w:szCs w:val="16"/>
        </w:rPr>
        <w:t>Diretoria de Geociências</w:t>
      </w:r>
    </w:p>
    <w:p w:rsidR="00347B3C" w:rsidRPr="00733483" w:rsidRDefault="00347B3C" w:rsidP="00347B3C">
      <w:pPr>
        <w:ind w:firstLine="284"/>
        <w:rPr>
          <w:sz w:val="16"/>
          <w:szCs w:val="16"/>
        </w:rPr>
      </w:pPr>
      <w:r w:rsidRPr="00733483">
        <w:rPr>
          <w:sz w:val="16"/>
          <w:szCs w:val="16"/>
        </w:rPr>
        <w:t>Wadih João Scandar Neto</w:t>
      </w:r>
    </w:p>
    <w:p w:rsidR="00347B3C" w:rsidRPr="00733483" w:rsidRDefault="00347B3C" w:rsidP="00347B3C">
      <w:pPr>
        <w:spacing w:before="160"/>
        <w:ind w:firstLine="0"/>
        <w:rPr>
          <w:position w:val="2"/>
          <w:sz w:val="16"/>
          <w:szCs w:val="16"/>
        </w:rPr>
      </w:pPr>
      <w:r w:rsidRPr="00733483">
        <w:rPr>
          <w:position w:val="2"/>
          <w:sz w:val="16"/>
          <w:szCs w:val="16"/>
        </w:rPr>
        <w:t>Diretoria de Informática</w:t>
      </w:r>
    </w:p>
    <w:p w:rsidR="00347B3C" w:rsidRPr="00733483" w:rsidRDefault="00347B3C" w:rsidP="00347B3C">
      <w:pPr>
        <w:ind w:firstLine="284"/>
        <w:rPr>
          <w:sz w:val="16"/>
          <w:szCs w:val="16"/>
        </w:rPr>
      </w:pPr>
      <w:r w:rsidRPr="00733483">
        <w:rPr>
          <w:sz w:val="16"/>
          <w:szCs w:val="16"/>
        </w:rPr>
        <w:t xml:space="preserve">José Sant'Anna Bevilaqua </w:t>
      </w:r>
    </w:p>
    <w:p w:rsidR="00347B3C" w:rsidRPr="00733483" w:rsidRDefault="00347B3C" w:rsidP="00347B3C">
      <w:pPr>
        <w:spacing w:before="160"/>
        <w:ind w:firstLine="0"/>
        <w:rPr>
          <w:position w:val="2"/>
          <w:sz w:val="16"/>
          <w:szCs w:val="16"/>
        </w:rPr>
      </w:pPr>
      <w:r w:rsidRPr="00733483">
        <w:rPr>
          <w:position w:val="2"/>
          <w:sz w:val="16"/>
          <w:szCs w:val="16"/>
        </w:rPr>
        <w:t>Centro de Documentação e Disseminação de Informações</w:t>
      </w:r>
    </w:p>
    <w:p w:rsidR="00347B3C" w:rsidRPr="00733483" w:rsidRDefault="00347B3C" w:rsidP="00347B3C">
      <w:pPr>
        <w:ind w:firstLine="284"/>
        <w:rPr>
          <w:sz w:val="16"/>
          <w:szCs w:val="16"/>
        </w:rPr>
      </w:pPr>
      <w:r w:rsidRPr="00733483">
        <w:rPr>
          <w:sz w:val="16"/>
          <w:szCs w:val="16"/>
        </w:rPr>
        <w:t>David Wu Tai</w:t>
      </w:r>
    </w:p>
    <w:p w:rsidR="00347B3C" w:rsidRPr="00733483" w:rsidRDefault="00347B3C" w:rsidP="00347B3C">
      <w:pPr>
        <w:tabs>
          <w:tab w:val="left" w:pos="1560"/>
        </w:tabs>
        <w:spacing w:before="160"/>
        <w:ind w:firstLine="0"/>
        <w:rPr>
          <w:sz w:val="16"/>
          <w:szCs w:val="16"/>
        </w:rPr>
      </w:pPr>
      <w:r w:rsidRPr="00733483">
        <w:rPr>
          <w:sz w:val="16"/>
          <w:szCs w:val="16"/>
        </w:rPr>
        <w:t>Escola Nacional de Ciências Estatísticas</w:t>
      </w:r>
    </w:p>
    <w:p w:rsidR="00347B3C" w:rsidRPr="00733483" w:rsidRDefault="00347B3C" w:rsidP="00347B3C">
      <w:pPr>
        <w:ind w:firstLine="284"/>
        <w:rPr>
          <w:rFonts w:ascii="Helv" w:hAnsi="Helv" w:cs="Helv"/>
          <w:snapToGrid w:val="0"/>
        </w:rPr>
      </w:pPr>
      <w:r w:rsidRPr="00733483">
        <w:rPr>
          <w:sz w:val="16"/>
          <w:szCs w:val="16"/>
        </w:rPr>
        <w:t>Maysa Sacramento de Magalhães</w:t>
      </w:r>
    </w:p>
    <w:p w:rsidR="00347B3C" w:rsidRPr="00733483" w:rsidRDefault="00347B3C" w:rsidP="00347B3C">
      <w:pPr>
        <w:spacing w:before="180"/>
        <w:ind w:firstLine="0"/>
        <w:rPr>
          <w:position w:val="2"/>
          <w:sz w:val="16"/>
          <w:szCs w:val="16"/>
        </w:rPr>
      </w:pPr>
      <w:r w:rsidRPr="00733483">
        <w:rPr>
          <w:position w:val="2"/>
          <w:sz w:val="16"/>
          <w:szCs w:val="16"/>
        </w:rPr>
        <w:t>UNIDADE RESPONSÁVEL</w:t>
      </w:r>
    </w:p>
    <w:p w:rsidR="00347B3C" w:rsidRPr="00733483" w:rsidRDefault="00347B3C" w:rsidP="00347B3C">
      <w:pPr>
        <w:spacing w:before="160"/>
        <w:ind w:firstLine="0"/>
        <w:rPr>
          <w:position w:val="2"/>
          <w:sz w:val="16"/>
          <w:szCs w:val="16"/>
        </w:rPr>
      </w:pPr>
      <w:r w:rsidRPr="00733483">
        <w:rPr>
          <w:position w:val="2"/>
          <w:sz w:val="16"/>
          <w:szCs w:val="16"/>
        </w:rPr>
        <w:t>Diretoria de Pesquisas</w:t>
      </w:r>
    </w:p>
    <w:p w:rsidR="00347B3C" w:rsidRPr="00733483" w:rsidRDefault="00347B3C" w:rsidP="00347B3C">
      <w:pPr>
        <w:spacing w:before="160"/>
        <w:ind w:firstLine="0"/>
        <w:rPr>
          <w:position w:val="2"/>
          <w:sz w:val="16"/>
          <w:szCs w:val="16"/>
        </w:rPr>
      </w:pPr>
      <w:r w:rsidRPr="00733483">
        <w:rPr>
          <w:position w:val="2"/>
          <w:sz w:val="16"/>
          <w:szCs w:val="16"/>
        </w:rPr>
        <w:t>Coordenação de Trabalho e Rendimento</w:t>
      </w:r>
    </w:p>
    <w:p w:rsidR="00347B3C" w:rsidRPr="00733483" w:rsidRDefault="00347B3C" w:rsidP="00347B3C">
      <w:pPr>
        <w:ind w:firstLine="284"/>
        <w:rPr>
          <w:sz w:val="16"/>
          <w:szCs w:val="16"/>
        </w:rPr>
      </w:pPr>
      <w:r w:rsidRPr="00733483">
        <w:rPr>
          <w:sz w:val="16"/>
          <w:szCs w:val="16"/>
        </w:rPr>
        <w:t>Cimar Azeredo Pereira</w:t>
      </w:r>
    </w:p>
    <w:p w:rsidR="00347B3C" w:rsidRPr="00733483" w:rsidRDefault="00347B3C" w:rsidP="00347B3C">
      <w:pPr>
        <w:ind w:firstLine="425"/>
        <w:rPr>
          <w:sz w:val="16"/>
          <w:szCs w:val="16"/>
        </w:rPr>
      </w:pPr>
    </w:p>
    <w:p w:rsidR="00347B3C" w:rsidRPr="00733483" w:rsidRDefault="00347B3C" w:rsidP="00347B3C">
      <w:pPr>
        <w:ind w:firstLine="425"/>
        <w:rPr>
          <w:b/>
          <w:bCs/>
          <w:sz w:val="14"/>
          <w:szCs w:val="14"/>
        </w:rPr>
      </w:pPr>
    </w:p>
    <w:p w:rsidR="00347B3C" w:rsidRPr="00733483" w:rsidRDefault="00347B3C" w:rsidP="00347B3C">
      <w:pPr>
        <w:ind w:left="426"/>
        <w:rPr>
          <w:position w:val="2"/>
        </w:rPr>
      </w:pPr>
      <w:r w:rsidRPr="00733483">
        <w:rPr>
          <w:position w:val="2"/>
          <w:sz w:val="16"/>
          <w:szCs w:val="16"/>
        </w:rPr>
        <w:br w:type="column"/>
      </w:r>
    </w:p>
    <w:p w:rsidR="00347B3C" w:rsidRPr="00733483" w:rsidRDefault="00347B3C" w:rsidP="00347B3C">
      <w:pPr>
        <w:ind w:firstLine="0"/>
        <w:rPr>
          <w:position w:val="2"/>
        </w:rPr>
      </w:pPr>
      <w:r w:rsidRPr="00733483">
        <w:rPr>
          <w:position w:val="2"/>
        </w:rPr>
        <w:t>Indicadores IBGE</w:t>
      </w:r>
    </w:p>
    <w:p w:rsidR="00347B3C" w:rsidRPr="00733483" w:rsidRDefault="00347B3C" w:rsidP="00347B3C">
      <w:pPr>
        <w:spacing w:before="140" w:line="260" w:lineRule="exact"/>
        <w:ind w:right="-228" w:firstLine="0"/>
        <w:rPr>
          <w:sz w:val="16"/>
          <w:szCs w:val="16"/>
        </w:rPr>
      </w:pPr>
      <w:r w:rsidRPr="00733483">
        <w:rPr>
          <w:sz w:val="16"/>
          <w:szCs w:val="16"/>
        </w:rPr>
        <w:t>Plano de divulgação:</w:t>
      </w:r>
    </w:p>
    <w:p w:rsidR="00347B3C" w:rsidRPr="00733483" w:rsidRDefault="00347B3C" w:rsidP="00347B3C">
      <w:pPr>
        <w:keepNext/>
        <w:ind w:firstLine="0"/>
        <w:rPr>
          <w:sz w:val="16"/>
          <w:szCs w:val="16"/>
        </w:rPr>
      </w:pPr>
    </w:p>
    <w:p w:rsidR="00347B3C" w:rsidRPr="00733483" w:rsidRDefault="00347B3C" w:rsidP="00347B3C">
      <w:pPr>
        <w:keepNext/>
        <w:ind w:firstLine="0"/>
        <w:rPr>
          <w:sz w:val="16"/>
          <w:szCs w:val="16"/>
        </w:rPr>
      </w:pPr>
      <w:r w:rsidRPr="00733483">
        <w:rPr>
          <w:sz w:val="16"/>
          <w:szCs w:val="16"/>
        </w:rPr>
        <w:t>Trabalho e rendimento</w:t>
      </w:r>
    </w:p>
    <w:p w:rsidR="00347B3C" w:rsidRPr="00733483" w:rsidRDefault="00347B3C" w:rsidP="00347B3C">
      <w:pPr>
        <w:ind w:left="284" w:firstLine="0"/>
        <w:rPr>
          <w:sz w:val="16"/>
          <w:szCs w:val="16"/>
        </w:rPr>
      </w:pPr>
      <w:r w:rsidRPr="00733483">
        <w:rPr>
          <w:sz w:val="16"/>
          <w:szCs w:val="16"/>
        </w:rPr>
        <w:t>Pesquisa mensal de emprego*</w:t>
      </w:r>
    </w:p>
    <w:p w:rsidR="00347B3C" w:rsidRPr="00733483" w:rsidRDefault="00347B3C" w:rsidP="00347B3C">
      <w:pPr>
        <w:ind w:left="284" w:firstLine="0"/>
        <w:rPr>
          <w:sz w:val="16"/>
          <w:szCs w:val="16"/>
        </w:rPr>
      </w:pPr>
      <w:r w:rsidRPr="00733483">
        <w:rPr>
          <w:sz w:val="16"/>
          <w:szCs w:val="16"/>
        </w:rPr>
        <w:t>Pesquisa nacional por amostra de domicílios contínua</w:t>
      </w:r>
    </w:p>
    <w:p w:rsidR="00347B3C" w:rsidRPr="00733483" w:rsidRDefault="00347B3C" w:rsidP="00347B3C">
      <w:pPr>
        <w:keepNext/>
        <w:ind w:firstLine="0"/>
        <w:rPr>
          <w:sz w:val="16"/>
          <w:szCs w:val="16"/>
        </w:rPr>
      </w:pPr>
      <w:r w:rsidRPr="00733483">
        <w:rPr>
          <w:sz w:val="16"/>
          <w:szCs w:val="16"/>
        </w:rPr>
        <w:t>Agropecuária</w:t>
      </w:r>
    </w:p>
    <w:p w:rsidR="00347B3C" w:rsidRPr="00733483" w:rsidRDefault="00347B3C" w:rsidP="00347B3C">
      <w:pPr>
        <w:ind w:left="284" w:firstLine="0"/>
        <w:rPr>
          <w:sz w:val="16"/>
          <w:szCs w:val="16"/>
        </w:rPr>
      </w:pPr>
      <w:r w:rsidRPr="00733483">
        <w:rPr>
          <w:sz w:val="16"/>
          <w:szCs w:val="16"/>
        </w:rPr>
        <w:t>Estatística da produção agrícola**</w:t>
      </w:r>
    </w:p>
    <w:p w:rsidR="00347B3C" w:rsidRPr="00733483" w:rsidRDefault="00347B3C" w:rsidP="00347B3C">
      <w:pPr>
        <w:ind w:left="284" w:firstLine="0"/>
        <w:rPr>
          <w:sz w:val="16"/>
          <w:szCs w:val="16"/>
        </w:rPr>
      </w:pPr>
      <w:r w:rsidRPr="00733483">
        <w:rPr>
          <w:sz w:val="16"/>
          <w:szCs w:val="16"/>
        </w:rPr>
        <w:t>Estatística da produção pecuária**</w:t>
      </w:r>
    </w:p>
    <w:p w:rsidR="00347B3C" w:rsidRPr="00733483" w:rsidRDefault="00347B3C" w:rsidP="00347B3C">
      <w:pPr>
        <w:keepNext/>
        <w:ind w:firstLine="0"/>
        <w:rPr>
          <w:sz w:val="16"/>
          <w:szCs w:val="16"/>
        </w:rPr>
      </w:pPr>
      <w:r w:rsidRPr="00733483">
        <w:rPr>
          <w:sz w:val="16"/>
          <w:szCs w:val="16"/>
        </w:rPr>
        <w:t>Indústria</w:t>
      </w:r>
    </w:p>
    <w:p w:rsidR="00347B3C" w:rsidRPr="00733483" w:rsidRDefault="00347B3C" w:rsidP="00347B3C">
      <w:pPr>
        <w:ind w:left="284" w:firstLine="0"/>
        <w:rPr>
          <w:sz w:val="16"/>
          <w:szCs w:val="16"/>
        </w:rPr>
      </w:pPr>
      <w:r w:rsidRPr="00733483">
        <w:rPr>
          <w:sz w:val="16"/>
          <w:szCs w:val="16"/>
        </w:rPr>
        <w:t>Pesquisa industrial mensal: emprego e salário***</w:t>
      </w:r>
    </w:p>
    <w:p w:rsidR="00347B3C" w:rsidRPr="00733483" w:rsidRDefault="00347B3C" w:rsidP="00347B3C">
      <w:pPr>
        <w:ind w:left="284" w:firstLine="0"/>
        <w:rPr>
          <w:sz w:val="16"/>
          <w:szCs w:val="16"/>
        </w:rPr>
      </w:pPr>
      <w:r w:rsidRPr="00733483">
        <w:rPr>
          <w:sz w:val="16"/>
          <w:szCs w:val="16"/>
        </w:rPr>
        <w:t>Pesquisa industrial mensal: produção física Brasil</w:t>
      </w:r>
    </w:p>
    <w:p w:rsidR="00347B3C" w:rsidRPr="00733483" w:rsidRDefault="00347B3C" w:rsidP="00347B3C">
      <w:pPr>
        <w:ind w:left="284" w:firstLine="0"/>
        <w:rPr>
          <w:sz w:val="16"/>
          <w:szCs w:val="16"/>
        </w:rPr>
      </w:pPr>
      <w:r w:rsidRPr="00733483">
        <w:rPr>
          <w:sz w:val="16"/>
          <w:szCs w:val="16"/>
        </w:rPr>
        <w:t>Pesquisa industrial mensal: produção física regional</w:t>
      </w:r>
    </w:p>
    <w:p w:rsidR="00347B3C" w:rsidRPr="00733483" w:rsidRDefault="00347B3C" w:rsidP="00347B3C">
      <w:pPr>
        <w:keepNext/>
        <w:ind w:firstLine="0"/>
        <w:rPr>
          <w:sz w:val="16"/>
          <w:szCs w:val="16"/>
        </w:rPr>
      </w:pPr>
      <w:r w:rsidRPr="00733483">
        <w:rPr>
          <w:sz w:val="16"/>
          <w:szCs w:val="16"/>
        </w:rPr>
        <w:t>Comércio</w:t>
      </w:r>
    </w:p>
    <w:p w:rsidR="00347B3C" w:rsidRPr="00733483" w:rsidRDefault="00347B3C" w:rsidP="00347B3C">
      <w:pPr>
        <w:ind w:left="284" w:firstLine="0"/>
        <w:rPr>
          <w:sz w:val="16"/>
          <w:szCs w:val="16"/>
        </w:rPr>
      </w:pPr>
      <w:r w:rsidRPr="00733483">
        <w:rPr>
          <w:sz w:val="16"/>
          <w:szCs w:val="16"/>
        </w:rPr>
        <w:t>Pesquisa mensal de comércio</w:t>
      </w:r>
    </w:p>
    <w:p w:rsidR="00347B3C" w:rsidRPr="00733483" w:rsidRDefault="00347B3C" w:rsidP="00347B3C">
      <w:pPr>
        <w:keepNext/>
        <w:ind w:firstLine="0"/>
        <w:rPr>
          <w:sz w:val="16"/>
          <w:szCs w:val="16"/>
        </w:rPr>
      </w:pPr>
      <w:r w:rsidRPr="00733483">
        <w:rPr>
          <w:sz w:val="16"/>
          <w:szCs w:val="16"/>
        </w:rPr>
        <w:t>Serviços</w:t>
      </w:r>
    </w:p>
    <w:p w:rsidR="00347B3C" w:rsidRPr="00733483" w:rsidRDefault="00347B3C" w:rsidP="00347B3C">
      <w:pPr>
        <w:ind w:left="284" w:firstLine="0"/>
        <w:rPr>
          <w:sz w:val="16"/>
          <w:szCs w:val="16"/>
        </w:rPr>
      </w:pPr>
      <w:r w:rsidRPr="00733483">
        <w:rPr>
          <w:sz w:val="16"/>
          <w:szCs w:val="16"/>
        </w:rPr>
        <w:t>Pesquisa mensal de serviços</w:t>
      </w:r>
    </w:p>
    <w:p w:rsidR="00347B3C" w:rsidRPr="00733483" w:rsidRDefault="00347B3C" w:rsidP="00347B3C">
      <w:pPr>
        <w:keepNext/>
        <w:ind w:firstLine="0"/>
        <w:rPr>
          <w:sz w:val="16"/>
          <w:szCs w:val="16"/>
        </w:rPr>
      </w:pPr>
      <w:r w:rsidRPr="00733483">
        <w:rPr>
          <w:sz w:val="16"/>
          <w:szCs w:val="16"/>
        </w:rPr>
        <w:t>Índices, preços e custos</w:t>
      </w:r>
    </w:p>
    <w:p w:rsidR="00347B3C" w:rsidRPr="00733483" w:rsidRDefault="00347B3C" w:rsidP="00347B3C">
      <w:pPr>
        <w:ind w:left="284" w:firstLine="0"/>
        <w:rPr>
          <w:sz w:val="16"/>
          <w:szCs w:val="16"/>
        </w:rPr>
      </w:pPr>
      <w:r w:rsidRPr="00733483">
        <w:rPr>
          <w:sz w:val="16"/>
          <w:szCs w:val="16"/>
        </w:rPr>
        <w:t xml:space="preserve">Índice de preços ao produtor - indústrias de transformação </w:t>
      </w:r>
    </w:p>
    <w:p w:rsidR="00347B3C" w:rsidRPr="00733483" w:rsidRDefault="00347B3C" w:rsidP="00347B3C">
      <w:pPr>
        <w:ind w:left="284" w:firstLine="0"/>
        <w:rPr>
          <w:sz w:val="16"/>
          <w:szCs w:val="16"/>
        </w:rPr>
      </w:pPr>
      <w:r w:rsidRPr="00733483">
        <w:rPr>
          <w:sz w:val="16"/>
          <w:szCs w:val="16"/>
        </w:rPr>
        <w:t>Sistema nacional de índices de preços ao consumidor: INPC - IPCA</w:t>
      </w:r>
    </w:p>
    <w:p w:rsidR="00347B3C" w:rsidRPr="00733483" w:rsidRDefault="00347B3C" w:rsidP="00347B3C">
      <w:pPr>
        <w:ind w:firstLine="0"/>
        <w:rPr>
          <w:sz w:val="16"/>
          <w:szCs w:val="16"/>
        </w:rPr>
      </w:pPr>
      <w:r w:rsidRPr="00733483">
        <w:rPr>
          <w:sz w:val="16"/>
          <w:szCs w:val="16"/>
        </w:rPr>
        <w:t>Sistema nacional de índices de preços ao consumidor: IPCA-E</w:t>
      </w:r>
    </w:p>
    <w:p w:rsidR="00347B3C" w:rsidRPr="00733483" w:rsidRDefault="00347B3C" w:rsidP="00347B3C">
      <w:pPr>
        <w:ind w:firstLine="0"/>
        <w:rPr>
          <w:sz w:val="16"/>
          <w:szCs w:val="16"/>
        </w:rPr>
      </w:pPr>
      <w:r w:rsidRPr="00733483">
        <w:rPr>
          <w:sz w:val="16"/>
          <w:szCs w:val="16"/>
        </w:rPr>
        <w:t>Sistema nacional de pesquisa de custos e índices da construção civil</w:t>
      </w:r>
    </w:p>
    <w:p w:rsidR="00347B3C" w:rsidRPr="00733483" w:rsidRDefault="00347B3C" w:rsidP="00347B3C">
      <w:pPr>
        <w:keepNext/>
        <w:ind w:firstLine="0"/>
        <w:rPr>
          <w:sz w:val="16"/>
          <w:szCs w:val="16"/>
        </w:rPr>
      </w:pPr>
      <w:r w:rsidRPr="00733483">
        <w:rPr>
          <w:sz w:val="16"/>
          <w:szCs w:val="16"/>
        </w:rPr>
        <w:t xml:space="preserve">Contas nacionais trimestrais </w:t>
      </w:r>
    </w:p>
    <w:p w:rsidR="00347B3C" w:rsidRPr="00733483" w:rsidRDefault="00347B3C" w:rsidP="00347B3C">
      <w:pPr>
        <w:spacing w:line="240" w:lineRule="atLeast"/>
        <w:ind w:right="-228" w:firstLine="0"/>
        <w:rPr>
          <w:sz w:val="16"/>
          <w:szCs w:val="16"/>
        </w:rPr>
      </w:pPr>
      <w:r w:rsidRPr="00733483">
        <w:rPr>
          <w:sz w:val="16"/>
          <w:szCs w:val="16"/>
        </w:rPr>
        <w:t>Contas nacionais trimestrais: indicadores de volume e valores correntes</w:t>
      </w:r>
    </w:p>
    <w:p w:rsidR="00347B3C" w:rsidRPr="00733483" w:rsidRDefault="00347B3C" w:rsidP="00347B3C">
      <w:pPr>
        <w:autoSpaceDE w:val="0"/>
        <w:autoSpaceDN w:val="0"/>
        <w:adjustRightInd w:val="0"/>
        <w:ind w:firstLine="0"/>
        <w:rPr>
          <w:rFonts w:ascii="Tms Rmn" w:hAnsi="Tms Rmn" w:cs="Tms Rmn"/>
          <w:sz w:val="16"/>
          <w:szCs w:val="16"/>
        </w:rPr>
      </w:pPr>
      <w:r w:rsidRPr="00733483">
        <w:rPr>
          <w:rFonts w:ascii="Tms Rmn" w:hAnsi="Tms Rmn" w:cs="Tms Rmn"/>
          <w:sz w:val="24"/>
          <w:szCs w:val="24"/>
        </w:rPr>
        <w:t xml:space="preserve">    </w:t>
      </w:r>
      <w:r w:rsidRPr="00733483">
        <w:rPr>
          <w:rFonts w:ascii="Tms Rmn" w:hAnsi="Tms Rmn" w:cs="Tms Rmn"/>
          <w:sz w:val="16"/>
          <w:szCs w:val="16"/>
        </w:rPr>
        <w:t>* O último fascículo divulgado corresponde a fevereiro de 2016.</w:t>
      </w:r>
    </w:p>
    <w:p w:rsidR="00347B3C" w:rsidRPr="00733483" w:rsidRDefault="00347B3C" w:rsidP="00347B3C">
      <w:pPr>
        <w:autoSpaceDE w:val="0"/>
        <w:autoSpaceDN w:val="0"/>
        <w:adjustRightInd w:val="0"/>
        <w:rPr>
          <w:rFonts w:ascii="Tms Rmn" w:hAnsi="Tms Rmn" w:cs="Tms Rmn"/>
          <w:sz w:val="16"/>
          <w:szCs w:val="16"/>
        </w:rPr>
      </w:pPr>
    </w:p>
    <w:p w:rsidR="00347B3C" w:rsidRPr="00733483" w:rsidRDefault="00347B3C" w:rsidP="00347B3C">
      <w:pPr>
        <w:autoSpaceDE w:val="0"/>
        <w:autoSpaceDN w:val="0"/>
        <w:adjustRightInd w:val="0"/>
        <w:rPr>
          <w:rFonts w:ascii="Tms Rmn" w:hAnsi="Tms Rmn" w:cs="Tms Rmn"/>
          <w:sz w:val="16"/>
          <w:szCs w:val="16"/>
        </w:rPr>
      </w:pPr>
      <w:r w:rsidRPr="00733483">
        <w:rPr>
          <w:rFonts w:ascii="Tms Rmn" w:hAnsi="Tms Rmn" w:cs="Tms Rmn"/>
          <w:sz w:val="16"/>
          <w:szCs w:val="16"/>
        </w:rPr>
        <w:t xml:space="preserve">    ** Continuação de: Estatística da produção agropecuária, a partir de janeiro de 2006. A produção agrícola é composta do Levantamento Sistemático da Produção Agrícola. A produção pecuária é composta da Pesquisa Trimestral do Abate de Animais, da Pesquisa Trimestral do Leite, da Pesquisa Trimestral do Couro e da Produção de Ovos de Galinha. </w:t>
      </w:r>
    </w:p>
    <w:p w:rsidR="00347B3C" w:rsidRPr="00733483" w:rsidRDefault="00347B3C" w:rsidP="00347B3C">
      <w:pPr>
        <w:autoSpaceDE w:val="0"/>
        <w:autoSpaceDN w:val="0"/>
        <w:adjustRightInd w:val="0"/>
        <w:rPr>
          <w:rFonts w:ascii="Tms Rmn" w:hAnsi="Tms Rmn" w:cs="Tms Rmn"/>
          <w:sz w:val="16"/>
          <w:szCs w:val="16"/>
        </w:rPr>
      </w:pPr>
    </w:p>
    <w:p w:rsidR="00347B3C" w:rsidRPr="00733483" w:rsidRDefault="00347B3C" w:rsidP="00347B3C">
      <w:pPr>
        <w:autoSpaceDE w:val="0"/>
        <w:autoSpaceDN w:val="0"/>
        <w:adjustRightInd w:val="0"/>
        <w:rPr>
          <w:rFonts w:ascii="Tms Rmn" w:hAnsi="Tms Rmn" w:cs="Tms Rmn"/>
          <w:sz w:val="16"/>
          <w:szCs w:val="16"/>
        </w:rPr>
      </w:pPr>
      <w:r w:rsidRPr="00733483">
        <w:rPr>
          <w:rFonts w:ascii="Tms Rmn" w:hAnsi="Tms Rmn" w:cs="Tms Rmn"/>
          <w:sz w:val="16"/>
          <w:szCs w:val="16"/>
        </w:rPr>
        <w:t xml:space="preserve">    *** O último fascículo divulgado corresponde a dezembro de 2015.</w:t>
      </w:r>
    </w:p>
    <w:p w:rsidR="00347B3C" w:rsidRPr="00733483" w:rsidRDefault="00347B3C" w:rsidP="00347B3C">
      <w:pPr>
        <w:spacing w:line="260" w:lineRule="exact"/>
        <w:rPr>
          <w:sz w:val="16"/>
          <w:szCs w:val="16"/>
        </w:rPr>
      </w:pPr>
    </w:p>
    <w:p w:rsidR="00347B3C" w:rsidRPr="00733483" w:rsidRDefault="00347B3C" w:rsidP="00347B3C">
      <w:pPr>
        <w:spacing w:line="260" w:lineRule="exact"/>
        <w:rPr>
          <w:sz w:val="16"/>
          <w:szCs w:val="16"/>
        </w:rPr>
      </w:pPr>
    </w:p>
    <w:p w:rsidR="00347B3C" w:rsidRPr="00733483" w:rsidRDefault="00347B3C" w:rsidP="00347B3C">
      <w:pPr>
        <w:spacing w:line="260" w:lineRule="exact"/>
        <w:rPr>
          <w:sz w:val="16"/>
          <w:szCs w:val="16"/>
        </w:rPr>
      </w:pPr>
    </w:p>
    <w:p w:rsidR="00347B3C" w:rsidRPr="00733483" w:rsidRDefault="00347B3C" w:rsidP="00347B3C">
      <w:pPr>
        <w:spacing w:line="260" w:lineRule="exact"/>
        <w:rPr>
          <w:sz w:val="16"/>
          <w:szCs w:val="16"/>
        </w:rPr>
      </w:pPr>
    </w:p>
    <w:p w:rsidR="00347B3C" w:rsidRPr="00733483" w:rsidRDefault="00347B3C" w:rsidP="00347B3C">
      <w:pPr>
        <w:autoSpaceDE w:val="0"/>
        <w:autoSpaceDN w:val="0"/>
        <w:adjustRightInd w:val="0"/>
        <w:rPr>
          <w:sz w:val="16"/>
          <w:szCs w:val="16"/>
        </w:rPr>
      </w:pPr>
    </w:p>
    <w:p w:rsidR="00347B3C" w:rsidRPr="00733483" w:rsidRDefault="00347B3C" w:rsidP="00347B3C">
      <w:pPr>
        <w:autoSpaceDE w:val="0"/>
        <w:autoSpaceDN w:val="0"/>
        <w:adjustRightInd w:val="0"/>
        <w:rPr>
          <w:sz w:val="16"/>
          <w:szCs w:val="16"/>
        </w:rPr>
      </w:pPr>
      <w:r w:rsidRPr="00733483">
        <w:rPr>
          <w:sz w:val="16"/>
          <w:szCs w:val="16"/>
        </w:rPr>
        <w:t>"Iniciado em 1982, com a divulgação de indicadores sobre trabalho e rendimento, indústria e preços, o periódico Indicadores IBGE passou a incorporar, no decorrer das décadas seguintes, informações sobre agropecuária, contas nacionais trimestrais e serviços, visando contemplar as variadas demandas por estatísticas conjunturais para o País. Outros temas poderão ser abarcados futuramente, de acordo com as necessidades de informação identificadas. O periódico é subdividido em fascículos por temas específicos, que incluem tabelas de resultados, comentários e notas metodológicas. As informações apresentadas estão disponíveis em diferentes níveis geográficos: nacional, regional e metropolitano, variando por fascículo".</w:t>
      </w:r>
    </w:p>
    <w:p w:rsidR="00347B3C" w:rsidRPr="00733483" w:rsidRDefault="00347B3C" w:rsidP="00347B3C">
      <w:pPr>
        <w:pStyle w:val="Ttulo"/>
        <w:tabs>
          <w:tab w:val="left" w:pos="4592"/>
        </w:tabs>
        <w:spacing w:line="360" w:lineRule="auto"/>
        <w:jc w:val="left"/>
        <w:rPr>
          <w:rFonts w:ascii="Arial" w:hAnsi="Arial" w:cs="Arial"/>
          <w:sz w:val="30"/>
          <w:szCs w:val="30"/>
        </w:rPr>
        <w:sectPr w:rsidR="00347B3C" w:rsidRPr="00733483" w:rsidSect="000C78B4">
          <w:footerReference w:type="default" r:id="rId11"/>
          <w:pgSz w:w="11907" w:h="16840" w:code="9"/>
          <w:pgMar w:top="1418" w:right="1134" w:bottom="992" w:left="1701" w:header="567" w:footer="0" w:gutter="0"/>
          <w:cols w:num="2" w:space="720"/>
          <w:docGrid w:linePitch="272"/>
        </w:sectPr>
      </w:pPr>
    </w:p>
    <w:p w:rsidR="00DC0FAD" w:rsidRDefault="00DC0FAD" w:rsidP="00247A28">
      <w:pPr>
        <w:jc w:val="center"/>
        <w:rPr>
          <w:rFonts w:ascii="Calibri" w:eastAsia="Calibri" w:hAnsi="Calibri" w:cs="Times New Roman"/>
          <w:b/>
          <w:sz w:val="28"/>
        </w:rPr>
      </w:pPr>
    </w:p>
    <w:p w:rsidR="00654735" w:rsidRPr="00A90B7C" w:rsidRDefault="00654735" w:rsidP="00654735">
      <w:pPr>
        <w:ind w:left="2694" w:hanging="2334"/>
        <w:jc w:val="center"/>
        <w:rPr>
          <w:rFonts w:ascii="Calibri" w:eastAsia="Calibri" w:hAnsi="Calibri" w:cs="Times New Roman"/>
          <w:b/>
          <w:color w:val="auto"/>
          <w:sz w:val="32"/>
        </w:rPr>
      </w:pPr>
      <w:r w:rsidRPr="00A90B7C">
        <w:rPr>
          <w:rFonts w:ascii="Calibri" w:eastAsia="Calibri" w:hAnsi="Calibri" w:cs="Times New Roman"/>
          <w:b/>
          <w:color w:val="auto"/>
          <w:sz w:val="32"/>
        </w:rPr>
        <w:t>Medidas de Subutilização da Força de Trabalho</w:t>
      </w:r>
    </w:p>
    <w:p w:rsidR="00627149" w:rsidRDefault="00627149" w:rsidP="00627149">
      <w:pPr>
        <w:jc w:val="center"/>
        <w:rPr>
          <w:rFonts w:ascii="Calibri" w:eastAsia="Calibri" w:hAnsi="Calibri" w:cs="Times New Roman"/>
          <w:b/>
          <w:sz w:val="36"/>
        </w:rPr>
      </w:pPr>
      <w:r w:rsidRPr="007F7E2C">
        <w:rPr>
          <w:rFonts w:ascii="Calibri" w:eastAsia="Calibri" w:hAnsi="Calibri" w:cs="Times New Roman"/>
          <w:b/>
          <w:sz w:val="36"/>
        </w:rPr>
        <w:t>PNAD Contínua</w:t>
      </w:r>
      <w:r>
        <w:rPr>
          <w:rFonts w:ascii="Calibri" w:eastAsia="Calibri" w:hAnsi="Calibri" w:cs="Times New Roman"/>
          <w:b/>
          <w:sz w:val="36"/>
        </w:rPr>
        <w:t xml:space="preserve"> - 3º Trimestre de 2016</w:t>
      </w:r>
    </w:p>
    <w:p w:rsidR="00627149" w:rsidRPr="007F7E2C" w:rsidRDefault="00627149" w:rsidP="00627149">
      <w:pPr>
        <w:jc w:val="center"/>
        <w:rPr>
          <w:rFonts w:ascii="Calibri" w:eastAsia="Calibri" w:hAnsi="Calibri" w:cs="Times New Roman"/>
          <w:b/>
          <w:sz w:val="36"/>
        </w:rPr>
      </w:pPr>
      <w:r>
        <w:rPr>
          <w:rFonts w:ascii="Calibri" w:eastAsia="Calibri" w:hAnsi="Calibri" w:cs="Times New Roman"/>
          <w:b/>
          <w:sz w:val="36"/>
        </w:rPr>
        <w:t>Enfoque Regional</w:t>
      </w:r>
    </w:p>
    <w:p w:rsidR="00627149" w:rsidRPr="007F7E2C" w:rsidRDefault="00627149" w:rsidP="00627149">
      <w:pPr>
        <w:ind w:left="2694" w:hanging="2334"/>
        <w:jc w:val="center"/>
        <w:rPr>
          <w:rFonts w:ascii="Arial" w:hAnsi="Arial"/>
          <w:b/>
          <w:sz w:val="40"/>
          <w:szCs w:val="24"/>
        </w:rPr>
      </w:pPr>
    </w:p>
    <w:p w:rsidR="00627149" w:rsidRDefault="00627149" w:rsidP="00627149">
      <w:pPr>
        <w:spacing w:line="360" w:lineRule="auto"/>
        <w:rPr>
          <w:rFonts w:ascii="Arial" w:hAnsi="Arial"/>
          <w:sz w:val="24"/>
          <w:szCs w:val="24"/>
        </w:rPr>
      </w:pPr>
    </w:p>
    <w:p w:rsidR="00627149" w:rsidRDefault="00627149" w:rsidP="00627149">
      <w:pPr>
        <w:spacing w:line="360" w:lineRule="auto"/>
      </w:pPr>
      <w:r>
        <w:rPr>
          <w:rFonts w:ascii="Arial" w:hAnsi="Arial"/>
          <w:sz w:val="24"/>
          <w:szCs w:val="24"/>
        </w:rPr>
        <w:t xml:space="preserve">Conforme previsto em seu planejamento, o IBGE está divulgando um novo conjunto de indicadores com periodicidade trimestral. Entre esses indicadores estão as medidas de subutilização da força de trabalho. </w:t>
      </w:r>
    </w:p>
    <w:p w:rsidR="00627149" w:rsidRDefault="00627149" w:rsidP="00627149">
      <w:pPr>
        <w:spacing w:line="360" w:lineRule="auto"/>
        <w:rPr>
          <w:rFonts w:ascii="Arial" w:hAnsi="Arial"/>
          <w:sz w:val="24"/>
          <w:szCs w:val="24"/>
        </w:rPr>
      </w:pPr>
    </w:p>
    <w:p w:rsidR="00627149" w:rsidRDefault="00627149" w:rsidP="00627149">
      <w:pPr>
        <w:spacing w:line="360" w:lineRule="auto"/>
      </w:pPr>
      <w:r>
        <w:rPr>
          <w:rFonts w:ascii="Arial" w:hAnsi="Arial"/>
          <w:sz w:val="24"/>
          <w:szCs w:val="24"/>
        </w:rPr>
        <w:t xml:space="preserve">Esclarecemos que apenas uma das medidas de subutilização da força de trabalho vem sendo divulgada, a desocupação. </w:t>
      </w:r>
    </w:p>
    <w:p w:rsidR="00627149" w:rsidRDefault="00627149" w:rsidP="00627149">
      <w:pPr>
        <w:spacing w:line="360" w:lineRule="auto"/>
        <w:rPr>
          <w:rFonts w:ascii="Arial" w:hAnsi="Arial"/>
          <w:sz w:val="24"/>
          <w:szCs w:val="24"/>
        </w:rPr>
      </w:pPr>
    </w:p>
    <w:p w:rsidR="00627149" w:rsidRDefault="00627149" w:rsidP="00627149">
      <w:pPr>
        <w:spacing w:line="360" w:lineRule="auto"/>
        <w:rPr>
          <w:rFonts w:ascii="Arial" w:hAnsi="Arial"/>
          <w:sz w:val="24"/>
          <w:szCs w:val="24"/>
        </w:rPr>
      </w:pPr>
      <w:r>
        <w:rPr>
          <w:rFonts w:ascii="Arial" w:hAnsi="Arial"/>
          <w:sz w:val="24"/>
          <w:szCs w:val="24"/>
        </w:rPr>
        <w:t xml:space="preserve">Salientamos que a taxa de desocupação não está sendo alterada, ou seja, continua sendo divulgada seguindo a mesma metodologia que vem sendo adotada desde o início da pesquisa em 2012, que segue as recomendações internacionais contidas na resolução da </w:t>
      </w:r>
      <w:r w:rsidRPr="00213FA5">
        <w:rPr>
          <w:rFonts w:ascii="Arial" w:hAnsi="Arial"/>
          <w:b/>
          <w:sz w:val="24"/>
          <w:szCs w:val="24"/>
        </w:rPr>
        <w:t xml:space="preserve">19ª Conferência Internacional dos Estatísticos do Trabalho </w:t>
      </w:r>
      <w:r>
        <w:rPr>
          <w:rFonts w:ascii="Arial" w:hAnsi="Arial"/>
          <w:b/>
          <w:sz w:val="24"/>
          <w:szCs w:val="24"/>
        </w:rPr>
        <w:t>-</w:t>
      </w:r>
      <w:r w:rsidRPr="00213FA5">
        <w:rPr>
          <w:rFonts w:ascii="Arial" w:hAnsi="Arial"/>
          <w:b/>
          <w:sz w:val="24"/>
          <w:szCs w:val="24"/>
        </w:rPr>
        <w:t xml:space="preserve"> CIET</w:t>
      </w:r>
      <w:r>
        <w:rPr>
          <w:rFonts w:ascii="Arial" w:hAnsi="Arial"/>
          <w:sz w:val="24"/>
          <w:szCs w:val="24"/>
        </w:rPr>
        <w:t xml:space="preserve">, promovida pela </w:t>
      </w:r>
      <w:r w:rsidRPr="00213FA5">
        <w:rPr>
          <w:rFonts w:ascii="Arial" w:hAnsi="Arial"/>
          <w:b/>
          <w:sz w:val="24"/>
          <w:szCs w:val="24"/>
        </w:rPr>
        <w:t>Organização Internacional do Trabalho - OIT</w:t>
      </w:r>
      <w:r>
        <w:rPr>
          <w:rStyle w:val="Refdenotaderodap"/>
          <w:rFonts w:ascii="Arial" w:hAnsi="Arial"/>
          <w:sz w:val="24"/>
          <w:szCs w:val="24"/>
        </w:rPr>
        <w:footnoteReference w:id="1"/>
      </w:r>
      <w:r>
        <w:rPr>
          <w:rFonts w:ascii="Arial" w:hAnsi="Arial"/>
          <w:sz w:val="24"/>
          <w:szCs w:val="24"/>
        </w:rPr>
        <w:t>.</w:t>
      </w:r>
    </w:p>
    <w:p w:rsidR="00627149" w:rsidRDefault="00627149" w:rsidP="00627149">
      <w:pPr>
        <w:spacing w:line="360" w:lineRule="auto"/>
        <w:rPr>
          <w:rFonts w:ascii="Arial" w:hAnsi="Arial"/>
          <w:sz w:val="24"/>
          <w:szCs w:val="24"/>
        </w:rPr>
      </w:pPr>
    </w:p>
    <w:p w:rsidR="00627149" w:rsidRDefault="00627149" w:rsidP="00627149">
      <w:pPr>
        <w:spacing w:line="360" w:lineRule="auto"/>
        <w:rPr>
          <w:rFonts w:ascii="Arial" w:hAnsi="Arial"/>
          <w:sz w:val="24"/>
          <w:szCs w:val="24"/>
        </w:rPr>
      </w:pPr>
      <w:r>
        <w:rPr>
          <w:rFonts w:ascii="Arial" w:hAnsi="Arial"/>
          <w:sz w:val="24"/>
          <w:szCs w:val="24"/>
        </w:rPr>
        <w:t xml:space="preserve">A </w:t>
      </w:r>
      <w:r w:rsidRPr="00834607">
        <w:rPr>
          <w:rFonts w:ascii="Arial" w:hAnsi="Arial"/>
          <w:b/>
          <w:sz w:val="24"/>
          <w:szCs w:val="24"/>
        </w:rPr>
        <w:t>Subutilização da Força de trabalho</w:t>
      </w:r>
      <w:r>
        <w:rPr>
          <w:rFonts w:ascii="Arial" w:hAnsi="Arial"/>
          <w:sz w:val="24"/>
          <w:szCs w:val="24"/>
        </w:rPr>
        <w:t xml:space="preserve"> (</w:t>
      </w:r>
      <w:r w:rsidRPr="00221F84">
        <w:rPr>
          <w:rFonts w:ascii="Arial" w:hAnsi="Arial"/>
          <w:i/>
          <w:sz w:val="24"/>
          <w:szCs w:val="24"/>
        </w:rPr>
        <w:t>labour underutilization</w:t>
      </w:r>
      <w:r>
        <w:rPr>
          <w:rFonts w:ascii="Arial" w:hAnsi="Arial"/>
          <w:sz w:val="24"/>
          <w:szCs w:val="24"/>
        </w:rPr>
        <w:t>) é um conceito construído para complementar o monitoramento do mercado de trabalho, além da medida de desocupação (</w:t>
      </w:r>
      <w:r w:rsidRPr="00221F84">
        <w:rPr>
          <w:rFonts w:ascii="Arial" w:hAnsi="Arial"/>
          <w:i/>
          <w:sz w:val="24"/>
          <w:szCs w:val="24"/>
        </w:rPr>
        <w:t>unemployment</w:t>
      </w:r>
      <w:r>
        <w:rPr>
          <w:rFonts w:ascii="Arial" w:hAnsi="Arial"/>
          <w:sz w:val="24"/>
          <w:szCs w:val="24"/>
        </w:rPr>
        <w:t>), que tem como objetivo fornecer a melhor estimativa possível da demanda por trabalho em ocupação (</w:t>
      </w:r>
      <w:r w:rsidRPr="00221F84">
        <w:rPr>
          <w:rFonts w:ascii="Arial" w:hAnsi="Arial"/>
          <w:i/>
          <w:sz w:val="24"/>
          <w:szCs w:val="24"/>
        </w:rPr>
        <w:t>employment</w:t>
      </w:r>
      <w:r>
        <w:rPr>
          <w:rFonts w:ascii="Arial" w:hAnsi="Arial"/>
          <w:sz w:val="24"/>
          <w:szCs w:val="24"/>
        </w:rPr>
        <w:t xml:space="preserve">). </w:t>
      </w:r>
    </w:p>
    <w:p w:rsidR="00627149" w:rsidRDefault="00627149" w:rsidP="00627149">
      <w:pPr>
        <w:spacing w:line="360" w:lineRule="auto"/>
        <w:rPr>
          <w:rFonts w:ascii="Arial" w:hAnsi="Arial"/>
          <w:sz w:val="24"/>
          <w:szCs w:val="24"/>
        </w:rPr>
      </w:pPr>
    </w:p>
    <w:p w:rsidR="00627149" w:rsidRDefault="00627149" w:rsidP="00627149">
      <w:pPr>
        <w:tabs>
          <w:tab w:val="left" w:pos="720"/>
        </w:tabs>
        <w:spacing w:line="360" w:lineRule="auto"/>
        <w:rPr>
          <w:rFonts w:ascii="Arial" w:hAnsi="Arial"/>
          <w:sz w:val="24"/>
          <w:szCs w:val="24"/>
        </w:rPr>
      </w:pPr>
      <w:r>
        <w:rPr>
          <w:rFonts w:ascii="Arial" w:hAnsi="Arial"/>
          <w:sz w:val="24"/>
          <w:szCs w:val="24"/>
        </w:rPr>
        <w:t>São identificados três componentes mutuamente exclusivos, sendo que dois componentes integram a força de trabalho</w:t>
      </w:r>
      <w:r>
        <w:rPr>
          <w:rStyle w:val="ncoradanotaderodap"/>
          <w:rFonts w:ascii="Arial" w:hAnsi="Arial"/>
          <w:sz w:val="24"/>
          <w:szCs w:val="24"/>
        </w:rPr>
        <w:footnoteReference w:id="2"/>
      </w:r>
      <w:r>
        <w:rPr>
          <w:rFonts w:ascii="Arial" w:hAnsi="Arial"/>
          <w:sz w:val="24"/>
          <w:szCs w:val="24"/>
        </w:rPr>
        <w:t xml:space="preserve">: i) </w:t>
      </w:r>
      <w:r w:rsidRPr="00213FA5">
        <w:rPr>
          <w:rFonts w:ascii="Arial" w:hAnsi="Arial"/>
          <w:sz w:val="24"/>
          <w:szCs w:val="24"/>
          <w:u w:val="single"/>
        </w:rPr>
        <w:t>os subocupados por insuficiência de horas trabalhadas</w:t>
      </w:r>
      <w:r>
        <w:rPr>
          <w:rFonts w:ascii="Arial" w:hAnsi="Arial"/>
          <w:sz w:val="24"/>
          <w:szCs w:val="24"/>
        </w:rPr>
        <w:t xml:space="preserve"> e os ii) </w:t>
      </w:r>
      <w:r w:rsidRPr="00A92F57">
        <w:rPr>
          <w:rFonts w:ascii="Arial" w:hAnsi="Arial"/>
          <w:sz w:val="24"/>
          <w:szCs w:val="24"/>
          <w:u w:val="single"/>
        </w:rPr>
        <w:t>desocupados</w:t>
      </w:r>
      <w:r>
        <w:rPr>
          <w:rFonts w:ascii="Arial" w:hAnsi="Arial"/>
          <w:sz w:val="24"/>
          <w:szCs w:val="24"/>
        </w:rPr>
        <w:t xml:space="preserve">; a eles se somam os que integram a iii) </w:t>
      </w:r>
      <w:r w:rsidRPr="00654735">
        <w:rPr>
          <w:rFonts w:ascii="Arial" w:hAnsi="Arial"/>
          <w:sz w:val="24"/>
          <w:szCs w:val="24"/>
          <w:u w:val="single"/>
        </w:rPr>
        <w:t>força de trabalho potencial</w:t>
      </w:r>
      <w:r>
        <w:rPr>
          <w:rFonts w:ascii="Arial" w:hAnsi="Arial"/>
          <w:sz w:val="24"/>
          <w:szCs w:val="24"/>
        </w:rPr>
        <w:t xml:space="preserve">. </w:t>
      </w:r>
    </w:p>
    <w:p w:rsidR="00627149" w:rsidRDefault="00627149" w:rsidP="00627149">
      <w:pPr>
        <w:tabs>
          <w:tab w:val="left" w:pos="720"/>
        </w:tabs>
        <w:spacing w:line="360" w:lineRule="auto"/>
      </w:pPr>
    </w:p>
    <w:p w:rsidR="00627149" w:rsidRDefault="00627149" w:rsidP="00627149">
      <w:pPr>
        <w:tabs>
          <w:tab w:val="left" w:pos="720"/>
        </w:tabs>
        <w:spacing w:line="360" w:lineRule="auto"/>
      </w:pPr>
      <w:r>
        <w:rPr>
          <w:rFonts w:ascii="Arial" w:hAnsi="Arial"/>
          <w:sz w:val="24"/>
          <w:szCs w:val="24"/>
        </w:rPr>
        <w:t xml:space="preserve">Segundo a OIT, é recomendado que os países adotem esses indicadores principais visando propiciar um quadro mais completo da </w:t>
      </w:r>
      <w:r w:rsidRPr="00213FA5">
        <w:rPr>
          <w:rFonts w:ascii="Arial" w:hAnsi="Arial"/>
          <w:sz w:val="24"/>
          <w:szCs w:val="24"/>
          <w:u w:val="single"/>
        </w:rPr>
        <w:t>subutilização da força de trabalho</w:t>
      </w:r>
      <w:r>
        <w:rPr>
          <w:rFonts w:ascii="Arial" w:hAnsi="Arial"/>
          <w:sz w:val="24"/>
          <w:szCs w:val="24"/>
        </w:rPr>
        <w:t xml:space="preserve">: </w:t>
      </w:r>
    </w:p>
    <w:p w:rsidR="00627149" w:rsidRDefault="00627149" w:rsidP="00627149">
      <w:pPr>
        <w:suppressAutoHyphens w:val="0"/>
        <w:spacing w:line="276" w:lineRule="auto"/>
        <w:ind w:firstLine="0"/>
        <w:jc w:val="left"/>
        <w:rPr>
          <w:rFonts w:ascii="Arial" w:hAnsi="Arial"/>
          <w:b/>
          <w:bCs/>
          <w:sz w:val="24"/>
          <w:szCs w:val="24"/>
        </w:rPr>
      </w:pPr>
      <w:bookmarkStart w:id="0" w:name="__DdeLink__200_680454074"/>
      <w:bookmarkEnd w:id="0"/>
    </w:p>
    <w:p w:rsidR="00C706D5" w:rsidRDefault="00C706D5">
      <w:pPr>
        <w:suppressAutoHyphens w:val="0"/>
        <w:spacing w:line="276" w:lineRule="auto"/>
        <w:ind w:firstLine="0"/>
        <w:jc w:val="left"/>
        <w:rPr>
          <w:rFonts w:ascii="Arial" w:hAnsi="Arial"/>
          <w:b/>
          <w:bCs/>
          <w:sz w:val="24"/>
          <w:szCs w:val="24"/>
        </w:rPr>
      </w:pPr>
      <w:r>
        <w:rPr>
          <w:rFonts w:ascii="Arial" w:hAnsi="Arial"/>
          <w:b/>
          <w:bCs/>
          <w:sz w:val="24"/>
          <w:szCs w:val="24"/>
        </w:rPr>
        <w:br w:type="page"/>
      </w:r>
    </w:p>
    <w:p w:rsidR="00627149" w:rsidRDefault="00627149" w:rsidP="00627149">
      <w:pPr>
        <w:suppressAutoHyphens w:val="0"/>
        <w:spacing w:line="276" w:lineRule="auto"/>
        <w:ind w:firstLine="0"/>
        <w:jc w:val="left"/>
        <w:rPr>
          <w:rFonts w:ascii="Arial" w:hAnsi="Arial"/>
          <w:sz w:val="24"/>
          <w:szCs w:val="24"/>
        </w:rPr>
      </w:pPr>
      <w:r>
        <w:rPr>
          <w:rFonts w:ascii="Arial" w:hAnsi="Arial"/>
          <w:b/>
          <w:bCs/>
          <w:sz w:val="24"/>
          <w:szCs w:val="24"/>
        </w:rPr>
        <w:lastRenderedPageBreak/>
        <w:t>Conceitos:</w:t>
      </w:r>
      <w:r>
        <w:rPr>
          <w:rFonts w:ascii="Arial" w:hAnsi="Arial"/>
          <w:sz w:val="24"/>
          <w:szCs w:val="24"/>
        </w:rPr>
        <w:t xml:space="preserve"> </w:t>
      </w:r>
    </w:p>
    <w:p w:rsidR="00627149" w:rsidRDefault="00627149" w:rsidP="00627149">
      <w:pPr>
        <w:tabs>
          <w:tab w:val="left" w:pos="720"/>
        </w:tabs>
        <w:spacing w:line="360" w:lineRule="auto"/>
        <w:rPr>
          <w:b/>
          <w:bCs/>
          <w:sz w:val="25"/>
          <w:szCs w:val="25"/>
        </w:rPr>
      </w:pPr>
    </w:p>
    <w:p w:rsidR="00627149" w:rsidRDefault="00627149" w:rsidP="00627149">
      <w:pPr>
        <w:tabs>
          <w:tab w:val="left" w:pos="720"/>
        </w:tabs>
        <w:spacing w:line="360" w:lineRule="auto"/>
        <w:rPr>
          <w:b/>
          <w:bCs/>
          <w:sz w:val="25"/>
          <w:szCs w:val="25"/>
        </w:rPr>
      </w:pPr>
      <w:r>
        <w:rPr>
          <w:rFonts w:ascii="Arial" w:hAnsi="Arial"/>
          <w:b/>
          <w:bCs/>
          <w:sz w:val="24"/>
          <w:szCs w:val="24"/>
        </w:rPr>
        <w:t>I) Pessoas subocupadas por insuficiência de horas trabalhadas:</w:t>
      </w:r>
    </w:p>
    <w:p w:rsidR="00627149" w:rsidRDefault="00627149" w:rsidP="00627149">
      <w:pPr>
        <w:tabs>
          <w:tab w:val="left" w:pos="720"/>
        </w:tabs>
        <w:spacing w:line="360" w:lineRule="auto"/>
        <w:rPr>
          <w:rFonts w:ascii="Arial" w:hAnsi="Arial"/>
          <w:sz w:val="24"/>
          <w:szCs w:val="24"/>
        </w:rPr>
      </w:pPr>
    </w:p>
    <w:p w:rsidR="00627149" w:rsidRDefault="00627149" w:rsidP="00627149">
      <w:pPr>
        <w:tabs>
          <w:tab w:val="left" w:pos="720"/>
        </w:tabs>
        <w:spacing w:line="360" w:lineRule="auto"/>
        <w:rPr>
          <w:sz w:val="25"/>
          <w:szCs w:val="25"/>
        </w:rPr>
      </w:pPr>
      <w:r>
        <w:rPr>
          <w:rFonts w:ascii="Arial" w:hAnsi="Arial"/>
          <w:sz w:val="24"/>
          <w:szCs w:val="24"/>
        </w:rPr>
        <w:t>São as pessoas que, na semana de referência, atendem as quatro condições abaixo:</w:t>
      </w:r>
    </w:p>
    <w:p w:rsidR="00627149" w:rsidRDefault="00627149" w:rsidP="00627149">
      <w:pPr>
        <w:pStyle w:val="PargrafodaLista"/>
        <w:numPr>
          <w:ilvl w:val="0"/>
          <w:numId w:val="1"/>
        </w:numPr>
        <w:spacing w:line="360" w:lineRule="auto"/>
        <w:rPr>
          <w:rFonts w:ascii="Calibri" w:eastAsia="Calibri" w:hAnsi="Calibri" w:cs="Calibri"/>
          <w:sz w:val="25"/>
          <w:szCs w:val="25"/>
        </w:rPr>
      </w:pPr>
      <w:r>
        <w:rPr>
          <w:rFonts w:ascii="Arial" w:eastAsia="Calibri" w:hAnsi="Arial" w:cs="Calibri"/>
        </w:rPr>
        <w:t>têm 14 anos ou mais de idade;</w:t>
      </w:r>
    </w:p>
    <w:p w:rsidR="00627149" w:rsidRDefault="00627149" w:rsidP="00627149">
      <w:pPr>
        <w:numPr>
          <w:ilvl w:val="0"/>
          <w:numId w:val="1"/>
        </w:numPr>
        <w:spacing w:line="360" w:lineRule="auto"/>
        <w:rPr>
          <w:sz w:val="25"/>
          <w:szCs w:val="25"/>
        </w:rPr>
      </w:pPr>
      <w:r>
        <w:rPr>
          <w:rFonts w:ascii="Arial" w:hAnsi="Arial"/>
          <w:sz w:val="24"/>
          <w:szCs w:val="24"/>
        </w:rPr>
        <w:t xml:space="preserve">trabalhavam habitualmente menos de 40 horas no seu único trabalho ou no conjunto de todos os seus trabalhos; </w:t>
      </w:r>
    </w:p>
    <w:p w:rsidR="00627149" w:rsidRDefault="00627149" w:rsidP="00627149">
      <w:pPr>
        <w:numPr>
          <w:ilvl w:val="0"/>
          <w:numId w:val="1"/>
        </w:numPr>
        <w:spacing w:line="360" w:lineRule="auto"/>
        <w:rPr>
          <w:sz w:val="25"/>
          <w:szCs w:val="25"/>
        </w:rPr>
      </w:pPr>
      <w:r>
        <w:rPr>
          <w:rFonts w:ascii="Arial" w:hAnsi="Arial"/>
          <w:sz w:val="24"/>
          <w:szCs w:val="24"/>
        </w:rPr>
        <w:t xml:space="preserve">gostariam de trabalhar mais horas que as habitualmente trabalhadas; </w:t>
      </w:r>
      <w:r w:rsidR="007A158F">
        <w:rPr>
          <w:rFonts w:ascii="Arial" w:hAnsi="Arial"/>
          <w:sz w:val="24"/>
          <w:szCs w:val="24"/>
        </w:rPr>
        <w:t>e</w:t>
      </w:r>
    </w:p>
    <w:p w:rsidR="00627149" w:rsidRDefault="00627149" w:rsidP="00627149">
      <w:pPr>
        <w:numPr>
          <w:ilvl w:val="0"/>
          <w:numId w:val="1"/>
        </w:numPr>
        <w:spacing w:line="360" w:lineRule="auto"/>
        <w:rPr>
          <w:sz w:val="25"/>
          <w:szCs w:val="25"/>
        </w:rPr>
      </w:pPr>
      <w:r>
        <w:rPr>
          <w:rFonts w:ascii="Arial" w:hAnsi="Arial"/>
          <w:sz w:val="24"/>
          <w:szCs w:val="24"/>
        </w:rPr>
        <w:t>estavam disponíveis para trabalhar mais horas no período de 30 dias, contados a partir do primeiro dia da semana de referência.</w:t>
      </w:r>
    </w:p>
    <w:p w:rsidR="00627149" w:rsidRDefault="00627149" w:rsidP="00627149">
      <w:pPr>
        <w:rPr>
          <w:rFonts w:ascii="Arial" w:hAnsi="Arial"/>
          <w:b/>
          <w:bCs/>
          <w:sz w:val="24"/>
          <w:szCs w:val="24"/>
        </w:rPr>
      </w:pPr>
    </w:p>
    <w:p w:rsidR="00627149" w:rsidRDefault="00627149" w:rsidP="00627149">
      <w:r>
        <w:rPr>
          <w:rFonts w:ascii="Arial" w:hAnsi="Arial"/>
          <w:b/>
          <w:bCs/>
          <w:sz w:val="24"/>
          <w:szCs w:val="24"/>
        </w:rPr>
        <w:t>II) Pessoas desocupadas:</w:t>
      </w:r>
    </w:p>
    <w:p w:rsidR="00627149" w:rsidRDefault="00627149" w:rsidP="00627149">
      <w:pPr>
        <w:tabs>
          <w:tab w:val="left" w:pos="720"/>
        </w:tabs>
        <w:spacing w:line="360" w:lineRule="auto"/>
        <w:rPr>
          <w:rFonts w:ascii="Arial" w:hAnsi="Arial"/>
          <w:i/>
          <w:iCs/>
          <w:sz w:val="24"/>
          <w:szCs w:val="24"/>
        </w:rPr>
      </w:pPr>
    </w:p>
    <w:p w:rsidR="00627149" w:rsidRDefault="00627149" w:rsidP="00627149">
      <w:pPr>
        <w:spacing w:line="360" w:lineRule="auto"/>
        <w:rPr>
          <w:rFonts w:ascii="Arial" w:hAnsi="Arial"/>
          <w:sz w:val="24"/>
          <w:szCs w:val="24"/>
        </w:rPr>
      </w:pPr>
      <w:r>
        <w:rPr>
          <w:rFonts w:ascii="Arial" w:hAnsi="Arial"/>
          <w:sz w:val="24"/>
          <w:szCs w:val="24"/>
        </w:rPr>
        <w:t xml:space="preserve">São classificadas como desocupadas na semana de referência as pessoas com 14 anos ou mais de idade, sem trabalho </w:t>
      </w:r>
      <w:r w:rsidRPr="008747FD">
        <w:rPr>
          <w:rFonts w:ascii="Arial" w:hAnsi="Arial"/>
          <w:sz w:val="24"/>
          <w:szCs w:val="24"/>
        </w:rPr>
        <w:t xml:space="preserve">(trabalho que </w:t>
      </w:r>
      <w:r>
        <w:rPr>
          <w:rFonts w:ascii="Arial" w:hAnsi="Arial"/>
          <w:sz w:val="24"/>
          <w:szCs w:val="24"/>
        </w:rPr>
        <w:t>gera rendimento</w:t>
      </w:r>
      <w:r w:rsidRPr="008747FD">
        <w:rPr>
          <w:rFonts w:ascii="Arial" w:hAnsi="Arial"/>
          <w:sz w:val="24"/>
          <w:szCs w:val="24"/>
        </w:rPr>
        <w:t xml:space="preserve"> para o domicílio)</w:t>
      </w:r>
      <w:r>
        <w:rPr>
          <w:rFonts w:ascii="Arial" w:hAnsi="Arial"/>
          <w:sz w:val="24"/>
          <w:szCs w:val="24"/>
        </w:rPr>
        <w:t xml:space="preserve"> nessa semana, que tomaram alguma providência efetiva para consegui-lo no período de referência de 30 dias e que estavam disponíveis para assumi-lo na semana de referência. </w:t>
      </w:r>
    </w:p>
    <w:p w:rsidR="00627149" w:rsidRPr="008747FD" w:rsidRDefault="00627149" w:rsidP="00627149">
      <w:pPr>
        <w:spacing w:line="360" w:lineRule="auto"/>
        <w:rPr>
          <w:rFonts w:ascii="Arial" w:hAnsi="Arial"/>
          <w:sz w:val="24"/>
          <w:szCs w:val="24"/>
        </w:rPr>
      </w:pPr>
    </w:p>
    <w:p w:rsidR="00627149" w:rsidRPr="00770A41" w:rsidRDefault="00627149" w:rsidP="00627149">
      <w:pPr>
        <w:spacing w:line="360" w:lineRule="auto"/>
        <w:rPr>
          <w:rFonts w:ascii="Arial" w:hAnsi="Arial"/>
          <w:sz w:val="24"/>
          <w:szCs w:val="24"/>
        </w:rPr>
      </w:pPr>
      <w:r>
        <w:rPr>
          <w:rFonts w:ascii="Arial" w:hAnsi="Arial"/>
          <w:sz w:val="24"/>
          <w:szCs w:val="24"/>
        </w:rPr>
        <w:t>Consideram-se, também, como desocupadas as pessoas sem trabalho na semana de referência que não tomaram providência efetiva para conseguir trabalho no período de referência de 30 dias porque já haviam conseguido trabalho com início previsto para após a semana de referência e prazo limite para esse início de até 3 meses.</w:t>
      </w:r>
    </w:p>
    <w:p w:rsidR="00627149" w:rsidRDefault="00627149" w:rsidP="00627149">
      <w:pPr>
        <w:tabs>
          <w:tab w:val="left" w:pos="720"/>
        </w:tabs>
        <w:spacing w:line="360" w:lineRule="auto"/>
        <w:rPr>
          <w:rFonts w:ascii="Arial" w:hAnsi="Arial"/>
          <w:sz w:val="24"/>
          <w:szCs w:val="24"/>
        </w:rPr>
      </w:pPr>
    </w:p>
    <w:p w:rsidR="00627149" w:rsidRDefault="00627149" w:rsidP="00627149">
      <w:pPr>
        <w:tabs>
          <w:tab w:val="left" w:pos="720"/>
        </w:tabs>
        <w:spacing w:line="360" w:lineRule="auto"/>
        <w:rPr>
          <w:rFonts w:ascii="Arial" w:hAnsi="Arial"/>
          <w:sz w:val="24"/>
          <w:szCs w:val="24"/>
        </w:rPr>
      </w:pPr>
    </w:p>
    <w:p w:rsidR="00627149" w:rsidRDefault="00627149" w:rsidP="00627149">
      <w:pPr>
        <w:tabs>
          <w:tab w:val="left" w:pos="720"/>
        </w:tabs>
        <w:spacing w:line="360" w:lineRule="auto"/>
      </w:pPr>
      <w:r>
        <w:rPr>
          <w:rFonts w:ascii="Arial" w:hAnsi="Arial"/>
          <w:b/>
          <w:bCs/>
          <w:sz w:val="24"/>
          <w:szCs w:val="24"/>
        </w:rPr>
        <w:t>III) Força de trabalho potencial:</w:t>
      </w:r>
    </w:p>
    <w:p w:rsidR="00627149" w:rsidRDefault="00627149" w:rsidP="00627149">
      <w:pPr>
        <w:tabs>
          <w:tab w:val="left" w:pos="720"/>
        </w:tabs>
        <w:spacing w:line="360" w:lineRule="auto"/>
        <w:rPr>
          <w:rFonts w:ascii="Arial" w:hAnsi="Arial"/>
          <w:sz w:val="24"/>
          <w:szCs w:val="24"/>
        </w:rPr>
      </w:pPr>
    </w:p>
    <w:p w:rsidR="00627149" w:rsidRPr="00770A41" w:rsidRDefault="00627149" w:rsidP="00627149">
      <w:pPr>
        <w:spacing w:line="360" w:lineRule="auto"/>
        <w:rPr>
          <w:rFonts w:ascii="Arial" w:hAnsi="Arial"/>
          <w:sz w:val="24"/>
          <w:szCs w:val="24"/>
        </w:rPr>
      </w:pPr>
      <w:r>
        <w:rPr>
          <w:rFonts w:ascii="Arial" w:hAnsi="Arial"/>
          <w:sz w:val="24"/>
          <w:szCs w:val="24"/>
        </w:rPr>
        <w:t xml:space="preserve">A força de trabalho potencial é definida como conjunto de pessoas de 14 anos ou mais de idade que não estavam ocupadas nem desocupadas na semana de referência, mas que possuíam um potencial de se transformarem em força de trabalho. </w:t>
      </w:r>
    </w:p>
    <w:p w:rsidR="00627149" w:rsidRDefault="00627149" w:rsidP="00627149">
      <w:pPr>
        <w:spacing w:line="360" w:lineRule="auto"/>
        <w:rPr>
          <w:sz w:val="25"/>
          <w:szCs w:val="25"/>
        </w:rPr>
      </w:pPr>
      <w:r>
        <w:rPr>
          <w:rFonts w:ascii="Arial" w:hAnsi="Arial"/>
          <w:sz w:val="24"/>
          <w:szCs w:val="24"/>
        </w:rPr>
        <w:tab/>
      </w:r>
    </w:p>
    <w:p w:rsidR="00627149" w:rsidRDefault="00627149" w:rsidP="00627149">
      <w:pPr>
        <w:suppressAutoHyphens w:val="0"/>
        <w:spacing w:line="276" w:lineRule="auto"/>
        <w:ind w:firstLine="0"/>
        <w:jc w:val="left"/>
        <w:rPr>
          <w:rFonts w:ascii="Arial" w:hAnsi="Arial"/>
          <w:sz w:val="24"/>
          <w:szCs w:val="24"/>
        </w:rPr>
      </w:pPr>
      <w:r>
        <w:rPr>
          <w:rFonts w:ascii="Arial" w:hAnsi="Arial"/>
          <w:sz w:val="24"/>
          <w:szCs w:val="24"/>
        </w:rPr>
        <w:br w:type="page"/>
      </w:r>
    </w:p>
    <w:p w:rsidR="00627149" w:rsidRPr="00770A41" w:rsidRDefault="00627149" w:rsidP="00627149">
      <w:pPr>
        <w:spacing w:line="360" w:lineRule="auto"/>
        <w:rPr>
          <w:rFonts w:ascii="Arial" w:hAnsi="Arial"/>
          <w:sz w:val="24"/>
          <w:szCs w:val="24"/>
        </w:rPr>
      </w:pPr>
      <w:r>
        <w:rPr>
          <w:rFonts w:ascii="Arial" w:hAnsi="Arial"/>
          <w:sz w:val="24"/>
          <w:szCs w:val="24"/>
        </w:rPr>
        <w:lastRenderedPageBreak/>
        <w:t xml:space="preserve">Este contingente é formado por dois grupos: </w:t>
      </w:r>
    </w:p>
    <w:p w:rsidR="00627149" w:rsidRDefault="00627149" w:rsidP="00627149">
      <w:pPr>
        <w:tabs>
          <w:tab w:val="left" w:pos="720"/>
        </w:tabs>
        <w:spacing w:line="360" w:lineRule="auto"/>
        <w:rPr>
          <w:rFonts w:ascii="Arial" w:hAnsi="Arial"/>
          <w:sz w:val="24"/>
          <w:szCs w:val="24"/>
        </w:rPr>
      </w:pPr>
    </w:p>
    <w:p w:rsidR="00627149" w:rsidRDefault="00627149" w:rsidP="00627149">
      <w:pPr>
        <w:numPr>
          <w:ilvl w:val="0"/>
          <w:numId w:val="2"/>
        </w:numPr>
        <w:spacing w:line="360" w:lineRule="auto"/>
        <w:rPr>
          <w:sz w:val="25"/>
          <w:szCs w:val="25"/>
        </w:rPr>
      </w:pPr>
      <w:r>
        <w:rPr>
          <w:rFonts w:ascii="Arial" w:hAnsi="Arial"/>
          <w:sz w:val="24"/>
          <w:szCs w:val="24"/>
        </w:rPr>
        <w:t xml:space="preserve">pessoas que realizaram busca efetiva por trabalho, mas não se encontravam disponíveis para trabalhar na semana de referência; </w:t>
      </w:r>
    </w:p>
    <w:p w:rsidR="00627149" w:rsidRDefault="00627149" w:rsidP="00627149">
      <w:pPr>
        <w:numPr>
          <w:ilvl w:val="0"/>
          <w:numId w:val="2"/>
        </w:numPr>
        <w:spacing w:line="360" w:lineRule="auto"/>
        <w:rPr>
          <w:rFonts w:ascii="Arial" w:hAnsi="Arial"/>
          <w:sz w:val="24"/>
          <w:szCs w:val="24"/>
        </w:rPr>
      </w:pPr>
      <w:r>
        <w:rPr>
          <w:rFonts w:ascii="Arial" w:hAnsi="Arial"/>
          <w:sz w:val="24"/>
          <w:szCs w:val="24"/>
        </w:rPr>
        <w:t>pessoas que não realizaram busca efetiva por trabalho, mas gostariam de ter um trabalho e estavam disponíveis para trabalhar na semana de referência.</w:t>
      </w:r>
    </w:p>
    <w:p w:rsidR="00627149" w:rsidRDefault="00627149" w:rsidP="00627149">
      <w:pPr>
        <w:spacing w:line="360" w:lineRule="auto"/>
        <w:ind w:firstLine="0"/>
      </w:pPr>
    </w:p>
    <w:p w:rsidR="00627149" w:rsidRDefault="00627149" w:rsidP="00627149">
      <w:pPr>
        <w:suppressAutoHyphens w:val="0"/>
        <w:spacing w:line="276" w:lineRule="auto"/>
        <w:ind w:firstLine="708"/>
        <w:jc w:val="left"/>
        <w:rPr>
          <w:rFonts w:ascii="Arial" w:hAnsi="Arial"/>
          <w:b/>
          <w:bCs/>
          <w:sz w:val="24"/>
          <w:szCs w:val="24"/>
        </w:rPr>
      </w:pPr>
      <w:r w:rsidRPr="005C3B90">
        <w:rPr>
          <w:rFonts w:ascii="Arial" w:hAnsi="Arial"/>
          <w:b/>
          <w:bCs/>
          <w:sz w:val="24"/>
          <w:szCs w:val="24"/>
        </w:rPr>
        <w:t xml:space="preserve">Indicadores: </w:t>
      </w:r>
    </w:p>
    <w:p w:rsidR="00627149" w:rsidRPr="005C3B90" w:rsidRDefault="00627149" w:rsidP="00627149">
      <w:pPr>
        <w:suppressAutoHyphens w:val="0"/>
        <w:spacing w:line="276" w:lineRule="auto"/>
        <w:ind w:firstLine="708"/>
        <w:jc w:val="left"/>
        <w:rPr>
          <w:rFonts w:ascii="Arial" w:hAnsi="Arial"/>
          <w:b/>
          <w:bCs/>
          <w:sz w:val="24"/>
          <w:szCs w:val="24"/>
        </w:rPr>
      </w:pPr>
    </w:p>
    <w:p w:rsidR="00627149" w:rsidRPr="005C3B90" w:rsidRDefault="00627149" w:rsidP="00627149">
      <w:pPr>
        <w:suppressAutoHyphens w:val="0"/>
        <w:spacing w:line="276" w:lineRule="auto"/>
        <w:ind w:left="361" w:firstLine="708"/>
        <w:jc w:val="left"/>
        <w:rPr>
          <w:rFonts w:ascii="Arial" w:hAnsi="Arial"/>
          <w:b/>
          <w:bCs/>
          <w:sz w:val="24"/>
          <w:szCs w:val="24"/>
        </w:rPr>
      </w:pPr>
      <w:r w:rsidRPr="005C3B90">
        <w:rPr>
          <w:rFonts w:ascii="Arial" w:hAnsi="Arial"/>
          <w:b/>
          <w:bCs/>
          <w:sz w:val="24"/>
          <w:szCs w:val="24"/>
        </w:rPr>
        <w:t>População:</w:t>
      </w:r>
    </w:p>
    <w:p w:rsidR="00627149" w:rsidRPr="00034052" w:rsidRDefault="00627149" w:rsidP="00627149">
      <w:pPr>
        <w:pStyle w:val="PargrafodaLista"/>
        <w:numPr>
          <w:ilvl w:val="0"/>
          <w:numId w:val="4"/>
        </w:numPr>
        <w:suppressAutoHyphens w:val="0"/>
        <w:autoSpaceDE w:val="0"/>
        <w:spacing w:line="360" w:lineRule="auto"/>
        <w:jc w:val="both"/>
        <w:rPr>
          <w:rFonts w:ascii="Arial" w:hAnsi="Arial" w:cs="Helv"/>
          <w:bCs/>
          <w:sz w:val="22"/>
          <w:szCs w:val="22"/>
        </w:rPr>
      </w:pPr>
      <w:r>
        <w:rPr>
          <w:rFonts w:ascii="Arial" w:hAnsi="Arial" w:cs="Helv"/>
          <w:bCs/>
          <w:sz w:val="22"/>
          <w:szCs w:val="22"/>
        </w:rPr>
        <w:t xml:space="preserve">Pessoas de 14 anos ou mais de idade </w:t>
      </w:r>
      <w:r>
        <w:rPr>
          <w:rFonts w:ascii="Arial" w:hAnsi="Arial" w:cs="Helv"/>
          <w:b/>
          <w:bCs/>
          <w:sz w:val="22"/>
          <w:szCs w:val="22"/>
        </w:rPr>
        <w:t>Desocupadas</w:t>
      </w:r>
      <w:r w:rsidRPr="00DB2A04">
        <w:rPr>
          <w:rFonts w:ascii="Arial" w:hAnsi="Arial" w:cs="Helv"/>
          <w:bCs/>
          <w:sz w:val="22"/>
          <w:szCs w:val="22"/>
        </w:rPr>
        <w:t>,</w:t>
      </w:r>
      <w:r>
        <w:rPr>
          <w:rFonts w:ascii="Arial" w:hAnsi="Arial" w:cs="Helv"/>
          <w:b/>
          <w:bCs/>
          <w:sz w:val="22"/>
          <w:szCs w:val="22"/>
        </w:rPr>
        <w:t xml:space="preserve"> </w:t>
      </w:r>
      <w:r w:rsidRPr="00F4528F">
        <w:rPr>
          <w:rFonts w:ascii="Arial" w:hAnsi="Arial" w:cs="Helv"/>
          <w:bCs/>
          <w:sz w:val="22"/>
          <w:szCs w:val="22"/>
        </w:rPr>
        <w:t>na semana de referência</w:t>
      </w:r>
      <w:r>
        <w:rPr>
          <w:rFonts w:ascii="Arial" w:hAnsi="Arial" w:cs="Helv"/>
          <w:bCs/>
          <w:sz w:val="22"/>
          <w:szCs w:val="22"/>
        </w:rPr>
        <w:t>;</w:t>
      </w:r>
    </w:p>
    <w:p w:rsidR="00627149" w:rsidRPr="00034052" w:rsidRDefault="00627149" w:rsidP="00627149">
      <w:pPr>
        <w:pStyle w:val="PargrafodaLista"/>
        <w:numPr>
          <w:ilvl w:val="0"/>
          <w:numId w:val="4"/>
        </w:numPr>
        <w:suppressAutoHyphens w:val="0"/>
        <w:autoSpaceDE w:val="0"/>
        <w:spacing w:line="360" w:lineRule="auto"/>
        <w:jc w:val="both"/>
        <w:rPr>
          <w:rFonts w:ascii="Arial" w:hAnsi="Arial" w:cs="Helv"/>
          <w:bCs/>
          <w:sz w:val="22"/>
          <w:szCs w:val="22"/>
        </w:rPr>
      </w:pPr>
      <w:r>
        <w:rPr>
          <w:rFonts w:ascii="Arial" w:hAnsi="Arial" w:cs="Helv"/>
          <w:bCs/>
          <w:sz w:val="22"/>
          <w:szCs w:val="22"/>
        </w:rPr>
        <w:t xml:space="preserve">Pessoas de 14 anos ou mais de idade </w:t>
      </w:r>
      <w:r>
        <w:rPr>
          <w:rFonts w:ascii="Arial" w:hAnsi="Arial" w:cs="Helv"/>
          <w:b/>
          <w:bCs/>
          <w:sz w:val="22"/>
          <w:szCs w:val="22"/>
        </w:rPr>
        <w:t>Subocupadas por Insuficiência d</w:t>
      </w:r>
      <w:r w:rsidRPr="00761BEB">
        <w:rPr>
          <w:rFonts w:ascii="Arial" w:hAnsi="Arial" w:cs="Helv"/>
          <w:b/>
          <w:bCs/>
          <w:sz w:val="22"/>
          <w:szCs w:val="22"/>
        </w:rPr>
        <w:t>e Horas Trabalhadas</w:t>
      </w:r>
      <w:r w:rsidRPr="00DB2A04">
        <w:rPr>
          <w:rFonts w:ascii="Arial" w:hAnsi="Arial" w:cs="Helv"/>
          <w:bCs/>
          <w:sz w:val="22"/>
          <w:szCs w:val="22"/>
        </w:rPr>
        <w:t xml:space="preserve">, </w:t>
      </w:r>
      <w:r w:rsidRPr="00221F84">
        <w:rPr>
          <w:rFonts w:ascii="Arial" w:hAnsi="Arial" w:cs="Helv"/>
          <w:bCs/>
          <w:sz w:val="22"/>
          <w:szCs w:val="22"/>
        </w:rPr>
        <w:t>na semana de referência</w:t>
      </w:r>
      <w:r>
        <w:rPr>
          <w:rFonts w:ascii="Arial" w:hAnsi="Arial" w:cs="Helv"/>
          <w:bCs/>
          <w:sz w:val="22"/>
          <w:szCs w:val="22"/>
        </w:rPr>
        <w:t>;</w:t>
      </w:r>
    </w:p>
    <w:p w:rsidR="00627149" w:rsidRPr="00500CA6" w:rsidRDefault="00627149" w:rsidP="00627149">
      <w:pPr>
        <w:pStyle w:val="PargrafodaLista"/>
        <w:numPr>
          <w:ilvl w:val="0"/>
          <w:numId w:val="4"/>
        </w:numPr>
        <w:suppressAutoHyphens w:val="0"/>
        <w:autoSpaceDE w:val="0"/>
        <w:spacing w:line="360" w:lineRule="auto"/>
        <w:jc w:val="both"/>
        <w:rPr>
          <w:rFonts w:ascii="Arial" w:hAnsi="Arial" w:cs="Helv"/>
          <w:bCs/>
          <w:sz w:val="22"/>
          <w:szCs w:val="22"/>
        </w:rPr>
      </w:pPr>
      <w:r>
        <w:rPr>
          <w:rFonts w:ascii="Arial" w:hAnsi="Arial" w:cs="Helv"/>
          <w:bCs/>
          <w:sz w:val="22"/>
          <w:szCs w:val="22"/>
        </w:rPr>
        <w:t xml:space="preserve">Pessoas de 14 anos ou mais de idade </w:t>
      </w:r>
      <w:r w:rsidRPr="00761BEB">
        <w:rPr>
          <w:rFonts w:ascii="Arial" w:hAnsi="Arial" w:cs="Helv"/>
          <w:b/>
          <w:bCs/>
          <w:sz w:val="22"/>
          <w:szCs w:val="22"/>
        </w:rPr>
        <w:t>Desocupadas</w:t>
      </w:r>
      <w:r>
        <w:rPr>
          <w:rFonts w:ascii="Arial" w:hAnsi="Arial" w:cs="Helv"/>
          <w:b/>
          <w:bCs/>
          <w:sz w:val="22"/>
          <w:szCs w:val="22"/>
        </w:rPr>
        <w:t xml:space="preserve"> </w:t>
      </w:r>
      <w:r>
        <w:rPr>
          <w:rFonts w:ascii="Arial" w:hAnsi="Arial" w:cs="Helv"/>
          <w:bCs/>
          <w:sz w:val="22"/>
          <w:szCs w:val="22"/>
        </w:rPr>
        <w:t>ou</w:t>
      </w:r>
      <w:r w:rsidRPr="00761BEB">
        <w:rPr>
          <w:rFonts w:ascii="Arial" w:hAnsi="Arial" w:cs="Helv"/>
          <w:bCs/>
          <w:sz w:val="22"/>
          <w:szCs w:val="22"/>
        </w:rPr>
        <w:t xml:space="preserve"> </w:t>
      </w:r>
      <w:r>
        <w:rPr>
          <w:rFonts w:ascii="Arial" w:hAnsi="Arial" w:cs="Helv"/>
          <w:b/>
          <w:bCs/>
          <w:sz w:val="22"/>
          <w:szCs w:val="22"/>
        </w:rPr>
        <w:t>Subocupadas por Insuficiência d</w:t>
      </w:r>
      <w:r w:rsidRPr="00761BEB">
        <w:rPr>
          <w:rFonts w:ascii="Arial" w:hAnsi="Arial" w:cs="Helv"/>
          <w:b/>
          <w:bCs/>
          <w:sz w:val="22"/>
          <w:szCs w:val="22"/>
        </w:rPr>
        <w:t>e Horas Trabalhadas</w:t>
      </w:r>
      <w:r w:rsidRPr="00DB2A04">
        <w:rPr>
          <w:rFonts w:ascii="Arial" w:hAnsi="Arial" w:cs="Helv"/>
          <w:bCs/>
          <w:sz w:val="22"/>
          <w:szCs w:val="22"/>
        </w:rPr>
        <w:t xml:space="preserve">, </w:t>
      </w:r>
      <w:r w:rsidRPr="00221F84">
        <w:rPr>
          <w:rFonts w:ascii="Arial" w:hAnsi="Arial" w:cs="Helv"/>
          <w:bCs/>
          <w:sz w:val="22"/>
          <w:szCs w:val="22"/>
        </w:rPr>
        <w:t>na semana de referência</w:t>
      </w:r>
      <w:r>
        <w:rPr>
          <w:rFonts w:ascii="Arial" w:hAnsi="Arial" w:cs="Helv"/>
          <w:bCs/>
          <w:sz w:val="22"/>
          <w:szCs w:val="22"/>
        </w:rPr>
        <w:t>;</w:t>
      </w:r>
    </w:p>
    <w:p w:rsidR="00627149" w:rsidRDefault="00627149" w:rsidP="00627149">
      <w:pPr>
        <w:pStyle w:val="PargrafodaLista"/>
        <w:numPr>
          <w:ilvl w:val="0"/>
          <w:numId w:val="4"/>
        </w:numPr>
        <w:suppressAutoHyphens w:val="0"/>
        <w:autoSpaceDE w:val="0"/>
        <w:spacing w:line="360" w:lineRule="auto"/>
        <w:jc w:val="both"/>
        <w:rPr>
          <w:rFonts w:ascii="Arial" w:hAnsi="Arial" w:cs="Helv"/>
          <w:bCs/>
          <w:sz w:val="22"/>
          <w:szCs w:val="22"/>
        </w:rPr>
      </w:pPr>
      <w:r>
        <w:rPr>
          <w:rFonts w:ascii="Arial" w:hAnsi="Arial" w:cs="Helv"/>
          <w:bCs/>
          <w:sz w:val="22"/>
          <w:szCs w:val="22"/>
        </w:rPr>
        <w:t xml:space="preserve">Pessoas de 14 anos ou mais de idade </w:t>
      </w:r>
      <w:r w:rsidRPr="00761BEB">
        <w:rPr>
          <w:rFonts w:ascii="Arial" w:hAnsi="Arial" w:cs="Helv"/>
          <w:bCs/>
          <w:sz w:val="22"/>
          <w:szCs w:val="22"/>
        </w:rPr>
        <w:t xml:space="preserve">na </w:t>
      </w:r>
      <w:r w:rsidRPr="00761BEB">
        <w:rPr>
          <w:rFonts w:ascii="Arial" w:hAnsi="Arial" w:cs="Helv"/>
          <w:b/>
          <w:bCs/>
          <w:sz w:val="22"/>
          <w:szCs w:val="22"/>
        </w:rPr>
        <w:t>Força de Trabalho Potencial</w:t>
      </w:r>
      <w:r w:rsidRPr="00DB2A04">
        <w:rPr>
          <w:rFonts w:ascii="Arial" w:hAnsi="Arial" w:cs="Helv"/>
          <w:bCs/>
          <w:sz w:val="22"/>
          <w:szCs w:val="22"/>
        </w:rPr>
        <w:t>,</w:t>
      </w:r>
      <w:r>
        <w:rPr>
          <w:rFonts w:ascii="Arial" w:hAnsi="Arial" w:cs="Helv"/>
          <w:b/>
          <w:bCs/>
          <w:sz w:val="22"/>
          <w:szCs w:val="22"/>
        </w:rPr>
        <w:t xml:space="preserve"> </w:t>
      </w:r>
      <w:r w:rsidRPr="00F4528F">
        <w:rPr>
          <w:rFonts w:ascii="Arial" w:hAnsi="Arial" w:cs="Helv"/>
          <w:bCs/>
          <w:sz w:val="22"/>
          <w:szCs w:val="22"/>
        </w:rPr>
        <w:t>na semana de referência</w:t>
      </w:r>
      <w:r>
        <w:rPr>
          <w:rFonts w:ascii="Arial" w:hAnsi="Arial" w:cs="Helv"/>
          <w:bCs/>
          <w:sz w:val="22"/>
          <w:szCs w:val="22"/>
        </w:rPr>
        <w:t>;</w:t>
      </w:r>
    </w:p>
    <w:p w:rsidR="00627149" w:rsidRDefault="00627149" w:rsidP="00627149">
      <w:pPr>
        <w:pStyle w:val="PargrafodaLista"/>
        <w:numPr>
          <w:ilvl w:val="0"/>
          <w:numId w:val="4"/>
        </w:numPr>
        <w:suppressAutoHyphens w:val="0"/>
        <w:autoSpaceDE w:val="0"/>
        <w:spacing w:line="360" w:lineRule="auto"/>
        <w:jc w:val="both"/>
        <w:rPr>
          <w:rFonts w:ascii="Arial" w:hAnsi="Arial" w:cs="Helv"/>
          <w:bCs/>
          <w:sz w:val="22"/>
          <w:szCs w:val="22"/>
        </w:rPr>
      </w:pPr>
      <w:r>
        <w:rPr>
          <w:rFonts w:ascii="Arial" w:hAnsi="Arial" w:cs="Helv"/>
          <w:bCs/>
          <w:sz w:val="22"/>
          <w:szCs w:val="22"/>
        </w:rPr>
        <w:t xml:space="preserve">Pessoas de 14 anos ou mais de idade </w:t>
      </w:r>
      <w:r w:rsidRPr="00761BEB">
        <w:rPr>
          <w:rFonts w:ascii="Arial" w:hAnsi="Arial" w:cs="Helv"/>
          <w:b/>
          <w:bCs/>
          <w:sz w:val="22"/>
          <w:szCs w:val="22"/>
        </w:rPr>
        <w:t xml:space="preserve">Desocupadas </w:t>
      </w:r>
      <w:r w:rsidRPr="00F4528F">
        <w:rPr>
          <w:rFonts w:ascii="Arial" w:hAnsi="Arial" w:cs="Helv"/>
          <w:bCs/>
          <w:sz w:val="22"/>
          <w:szCs w:val="22"/>
        </w:rPr>
        <w:t>ou na</w:t>
      </w:r>
      <w:r w:rsidRPr="00761BEB">
        <w:rPr>
          <w:rFonts w:ascii="Arial" w:hAnsi="Arial" w:cs="Helv"/>
          <w:b/>
          <w:bCs/>
          <w:sz w:val="22"/>
          <w:szCs w:val="22"/>
        </w:rPr>
        <w:t xml:space="preserve"> Força de Trabalho Potencial</w:t>
      </w:r>
      <w:r w:rsidRPr="00DB2A04">
        <w:rPr>
          <w:rFonts w:ascii="Arial" w:hAnsi="Arial" w:cs="Helv"/>
          <w:bCs/>
          <w:sz w:val="22"/>
          <w:szCs w:val="22"/>
        </w:rPr>
        <w:t>,</w:t>
      </w:r>
      <w:r>
        <w:rPr>
          <w:rFonts w:ascii="Arial" w:hAnsi="Arial" w:cs="Helv"/>
          <w:b/>
          <w:bCs/>
          <w:sz w:val="22"/>
          <w:szCs w:val="22"/>
        </w:rPr>
        <w:t xml:space="preserve"> </w:t>
      </w:r>
      <w:r w:rsidRPr="00F4528F">
        <w:rPr>
          <w:rFonts w:ascii="Arial" w:hAnsi="Arial" w:cs="Helv"/>
          <w:bCs/>
          <w:sz w:val="22"/>
          <w:szCs w:val="22"/>
        </w:rPr>
        <w:t>na semana de referência</w:t>
      </w:r>
      <w:r>
        <w:rPr>
          <w:rFonts w:ascii="Arial" w:hAnsi="Arial" w:cs="Helv"/>
          <w:bCs/>
          <w:sz w:val="22"/>
          <w:szCs w:val="22"/>
        </w:rPr>
        <w:t>;</w:t>
      </w:r>
    </w:p>
    <w:p w:rsidR="00627149" w:rsidRDefault="00627149" w:rsidP="00627149">
      <w:pPr>
        <w:pStyle w:val="PargrafodaLista"/>
        <w:numPr>
          <w:ilvl w:val="0"/>
          <w:numId w:val="4"/>
        </w:numPr>
        <w:suppressAutoHyphens w:val="0"/>
        <w:autoSpaceDE w:val="0"/>
        <w:spacing w:line="360" w:lineRule="auto"/>
        <w:jc w:val="both"/>
        <w:rPr>
          <w:rFonts w:ascii="Arial" w:hAnsi="Arial" w:cs="Helv"/>
          <w:bCs/>
          <w:sz w:val="22"/>
          <w:szCs w:val="22"/>
        </w:rPr>
      </w:pPr>
      <w:r>
        <w:rPr>
          <w:rFonts w:ascii="Arial" w:hAnsi="Arial" w:cs="Helv"/>
          <w:bCs/>
          <w:sz w:val="22"/>
          <w:szCs w:val="22"/>
        </w:rPr>
        <w:t xml:space="preserve">Pessoas de 14 anos ou mais de idade </w:t>
      </w:r>
      <w:r w:rsidRPr="00761BEB">
        <w:rPr>
          <w:rFonts w:ascii="Arial" w:hAnsi="Arial" w:cs="Helv"/>
          <w:b/>
          <w:bCs/>
          <w:sz w:val="22"/>
          <w:szCs w:val="22"/>
        </w:rPr>
        <w:t>Desocupadas</w:t>
      </w:r>
      <w:r>
        <w:rPr>
          <w:rFonts w:ascii="Arial" w:hAnsi="Arial" w:cs="Helv"/>
          <w:b/>
          <w:bCs/>
          <w:sz w:val="22"/>
          <w:szCs w:val="22"/>
        </w:rPr>
        <w:t xml:space="preserve"> </w:t>
      </w:r>
      <w:r>
        <w:rPr>
          <w:rFonts w:ascii="Arial" w:hAnsi="Arial" w:cs="Helv"/>
          <w:bCs/>
          <w:sz w:val="22"/>
          <w:szCs w:val="22"/>
        </w:rPr>
        <w:t>ou</w:t>
      </w:r>
      <w:r w:rsidRPr="00761BEB">
        <w:rPr>
          <w:rFonts w:ascii="Arial" w:hAnsi="Arial" w:cs="Helv"/>
          <w:bCs/>
          <w:sz w:val="22"/>
          <w:szCs w:val="22"/>
        </w:rPr>
        <w:t xml:space="preserve"> </w:t>
      </w:r>
      <w:r>
        <w:rPr>
          <w:rFonts w:ascii="Arial" w:hAnsi="Arial" w:cs="Helv"/>
          <w:b/>
          <w:bCs/>
          <w:sz w:val="22"/>
          <w:szCs w:val="22"/>
        </w:rPr>
        <w:t>Subocupadas por Insuficiência d</w:t>
      </w:r>
      <w:r w:rsidRPr="00761BEB">
        <w:rPr>
          <w:rFonts w:ascii="Arial" w:hAnsi="Arial" w:cs="Helv"/>
          <w:b/>
          <w:bCs/>
          <w:sz w:val="22"/>
          <w:szCs w:val="22"/>
        </w:rPr>
        <w:t>e Horas Trabalhadas</w:t>
      </w:r>
      <w:r>
        <w:rPr>
          <w:rFonts w:ascii="Arial" w:hAnsi="Arial" w:cs="Helv"/>
          <w:b/>
          <w:bCs/>
          <w:sz w:val="22"/>
          <w:szCs w:val="22"/>
        </w:rPr>
        <w:t xml:space="preserve"> </w:t>
      </w:r>
      <w:r w:rsidRPr="00F4528F">
        <w:rPr>
          <w:rFonts w:ascii="Arial" w:hAnsi="Arial" w:cs="Helv"/>
          <w:bCs/>
          <w:sz w:val="22"/>
          <w:szCs w:val="22"/>
        </w:rPr>
        <w:t>ou na</w:t>
      </w:r>
      <w:r w:rsidRPr="00761BEB">
        <w:rPr>
          <w:rFonts w:ascii="Arial" w:hAnsi="Arial" w:cs="Helv"/>
          <w:b/>
          <w:bCs/>
          <w:sz w:val="22"/>
          <w:szCs w:val="22"/>
        </w:rPr>
        <w:t xml:space="preserve"> Força de Trabalho Potencial</w:t>
      </w:r>
      <w:r w:rsidRPr="00DB2A04">
        <w:rPr>
          <w:rFonts w:ascii="Arial" w:hAnsi="Arial" w:cs="Helv"/>
          <w:bCs/>
          <w:sz w:val="22"/>
          <w:szCs w:val="22"/>
        </w:rPr>
        <w:t>,</w:t>
      </w:r>
      <w:r>
        <w:rPr>
          <w:rFonts w:ascii="Arial" w:hAnsi="Arial" w:cs="Helv"/>
          <w:b/>
          <w:bCs/>
          <w:sz w:val="22"/>
          <w:szCs w:val="22"/>
        </w:rPr>
        <w:t xml:space="preserve"> </w:t>
      </w:r>
      <w:r w:rsidRPr="00F4528F">
        <w:rPr>
          <w:rFonts w:ascii="Arial" w:hAnsi="Arial" w:cs="Helv"/>
          <w:bCs/>
          <w:sz w:val="22"/>
          <w:szCs w:val="22"/>
        </w:rPr>
        <w:t>na semana de referência</w:t>
      </w:r>
      <w:r>
        <w:rPr>
          <w:rFonts w:ascii="Arial" w:hAnsi="Arial" w:cs="Helv"/>
          <w:bCs/>
          <w:sz w:val="22"/>
          <w:szCs w:val="22"/>
        </w:rPr>
        <w:t>;</w:t>
      </w:r>
    </w:p>
    <w:p w:rsidR="00627149" w:rsidRPr="00034052" w:rsidRDefault="00627149" w:rsidP="00627149">
      <w:pPr>
        <w:pStyle w:val="PargrafodaLista"/>
        <w:numPr>
          <w:ilvl w:val="0"/>
          <w:numId w:val="4"/>
        </w:numPr>
        <w:suppressAutoHyphens w:val="0"/>
        <w:autoSpaceDE w:val="0"/>
        <w:spacing w:line="360" w:lineRule="auto"/>
        <w:jc w:val="both"/>
        <w:rPr>
          <w:rFonts w:ascii="Arial" w:hAnsi="Arial" w:cs="Helv"/>
          <w:bCs/>
          <w:sz w:val="22"/>
          <w:szCs w:val="22"/>
        </w:rPr>
      </w:pPr>
      <w:r>
        <w:rPr>
          <w:rFonts w:ascii="Arial" w:hAnsi="Arial" w:cs="Helv"/>
          <w:bCs/>
          <w:sz w:val="22"/>
          <w:szCs w:val="22"/>
        </w:rPr>
        <w:t xml:space="preserve">Pessoas de 14 anos ou mais de idade </w:t>
      </w:r>
      <w:r w:rsidRPr="00761BEB">
        <w:rPr>
          <w:rFonts w:ascii="Arial" w:hAnsi="Arial" w:cs="Helv"/>
          <w:bCs/>
          <w:sz w:val="22"/>
          <w:szCs w:val="22"/>
        </w:rPr>
        <w:t xml:space="preserve">na </w:t>
      </w:r>
      <w:r w:rsidRPr="00761BEB">
        <w:rPr>
          <w:rFonts w:ascii="Arial" w:hAnsi="Arial" w:cs="Helv"/>
          <w:b/>
          <w:bCs/>
          <w:sz w:val="22"/>
          <w:szCs w:val="22"/>
        </w:rPr>
        <w:t>Força de Trabalho Ampliada</w:t>
      </w:r>
      <w:r>
        <w:rPr>
          <w:rFonts w:ascii="Arial" w:hAnsi="Arial" w:cs="Helv"/>
          <w:bCs/>
          <w:sz w:val="22"/>
          <w:szCs w:val="22"/>
        </w:rPr>
        <w:t xml:space="preserve"> (</w:t>
      </w:r>
      <w:r w:rsidRPr="00D17CDC">
        <w:rPr>
          <w:rFonts w:ascii="Arial" w:hAnsi="Arial" w:cs="Helv"/>
          <w:bCs/>
          <w:i/>
          <w:sz w:val="22"/>
          <w:szCs w:val="22"/>
        </w:rPr>
        <w:t>Força de Trabalho</w:t>
      </w:r>
      <w:r>
        <w:rPr>
          <w:rFonts w:ascii="Arial" w:hAnsi="Arial" w:cs="Helv"/>
          <w:bCs/>
          <w:i/>
          <w:sz w:val="22"/>
          <w:szCs w:val="22"/>
        </w:rPr>
        <w:t xml:space="preserve"> + Força de Trabalho Potencial), </w:t>
      </w:r>
      <w:r w:rsidRPr="00F4528F">
        <w:rPr>
          <w:rFonts w:ascii="Arial" w:hAnsi="Arial" w:cs="Helv"/>
          <w:bCs/>
          <w:sz w:val="22"/>
          <w:szCs w:val="22"/>
        </w:rPr>
        <w:t>na semana de referência</w:t>
      </w:r>
      <w:r>
        <w:rPr>
          <w:rFonts w:ascii="Arial" w:hAnsi="Arial" w:cs="Helv"/>
          <w:bCs/>
          <w:i/>
          <w:sz w:val="22"/>
          <w:szCs w:val="22"/>
        </w:rPr>
        <w:t>.</w:t>
      </w:r>
    </w:p>
    <w:p w:rsidR="00627149" w:rsidRDefault="00627149" w:rsidP="00627149">
      <w:pPr>
        <w:suppressAutoHyphens w:val="0"/>
        <w:spacing w:line="276" w:lineRule="auto"/>
        <w:ind w:firstLine="0"/>
        <w:jc w:val="left"/>
        <w:rPr>
          <w:rFonts w:ascii="Arial" w:hAnsi="Arial"/>
          <w:b/>
          <w:bCs/>
          <w:sz w:val="24"/>
          <w:szCs w:val="24"/>
        </w:rPr>
      </w:pPr>
      <w:r>
        <w:rPr>
          <w:rFonts w:ascii="Arial" w:hAnsi="Arial"/>
          <w:b/>
          <w:bCs/>
          <w:sz w:val="24"/>
          <w:szCs w:val="24"/>
        </w:rPr>
        <w:br w:type="page"/>
      </w:r>
    </w:p>
    <w:p w:rsidR="00627149" w:rsidRDefault="00627149" w:rsidP="00627149">
      <w:pPr>
        <w:suppressAutoHyphens w:val="0"/>
        <w:spacing w:line="276" w:lineRule="auto"/>
        <w:ind w:left="361" w:firstLine="708"/>
        <w:jc w:val="left"/>
        <w:rPr>
          <w:rFonts w:ascii="Arial" w:hAnsi="Arial"/>
          <w:b/>
          <w:bCs/>
          <w:sz w:val="24"/>
          <w:szCs w:val="24"/>
        </w:rPr>
      </w:pPr>
      <w:r w:rsidRPr="005C3B90">
        <w:rPr>
          <w:rFonts w:ascii="Arial" w:hAnsi="Arial"/>
          <w:b/>
          <w:bCs/>
          <w:sz w:val="24"/>
          <w:szCs w:val="24"/>
        </w:rPr>
        <w:lastRenderedPageBreak/>
        <w:t>Taxas</w:t>
      </w:r>
      <w:r w:rsidR="00BC0C7B">
        <w:rPr>
          <w:rFonts w:ascii="Arial" w:hAnsi="Arial"/>
          <w:b/>
          <w:bCs/>
          <w:sz w:val="24"/>
          <w:szCs w:val="24"/>
        </w:rPr>
        <w:t>:</w:t>
      </w:r>
    </w:p>
    <w:p w:rsidR="00BC0C7B" w:rsidRPr="005C3B90" w:rsidRDefault="00BC0C7B" w:rsidP="00627149">
      <w:pPr>
        <w:suppressAutoHyphens w:val="0"/>
        <w:spacing w:line="276" w:lineRule="auto"/>
        <w:ind w:left="361" w:firstLine="708"/>
        <w:jc w:val="left"/>
        <w:rPr>
          <w:rFonts w:ascii="Arial" w:hAnsi="Arial"/>
          <w:b/>
          <w:bCs/>
          <w:sz w:val="24"/>
          <w:szCs w:val="24"/>
        </w:rPr>
      </w:pPr>
    </w:p>
    <w:p w:rsidR="00627149" w:rsidRPr="00D17CDC" w:rsidRDefault="00627149" w:rsidP="00627149">
      <w:pPr>
        <w:pStyle w:val="PargrafodaLista"/>
        <w:numPr>
          <w:ilvl w:val="0"/>
          <w:numId w:val="4"/>
        </w:numPr>
        <w:spacing w:after="200" w:line="276" w:lineRule="auto"/>
        <w:rPr>
          <w:rFonts w:ascii="Arial" w:hAnsi="Arial" w:cs="Helv"/>
          <w:b/>
          <w:bCs/>
          <w:sz w:val="22"/>
          <w:szCs w:val="22"/>
        </w:rPr>
      </w:pPr>
      <w:r w:rsidRPr="00D17CDC">
        <w:rPr>
          <w:rFonts w:ascii="Arial" w:hAnsi="Arial" w:cs="Helv"/>
          <w:b/>
          <w:bCs/>
          <w:sz w:val="22"/>
          <w:szCs w:val="22"/>
        </w:rPr>
        <w:t>Taxa de desocupação</w:t>
      </w:r>
    </w:p>
    <w:p w:rsidR="00627149" w:rsidRDefault="00627149" w:rsidP="00627149">
      <w:pPr>
        <w:ind w:left="708"/>
      </w:pPr>
      <w:r>
        <w:rPr>
          <w:bCs/>
          <w:i/>
          <w:sz w:val="25"/>
          <w:szCs w:val="25"/>
        </w:rPr>
        <w:t xml:space="preserve">Numerador - Desocupados </w:t>
      </w:r>
    </w:p>
    <w:p w:rsidR="00627149" w:rsidRDefault="00627149" w:rsidP="00627149">
      <w:pPr>
        <w:tabs>
          <w:tab w:val="left" w:pos="720"/>
        </w:tabs>
        <w:spacing w:after="200" w:line="276" w:lineRule="auto"/>
        <w:ind w:left="708"/>
      </w:pPr>
      <w:r>
        <w:rPr>
          <w:i/>
          <w:sz w:val="25"/>
          <w:szCs w:val="25"/>
        </w:rPr>
        <w:t>Denominador – Força de Trabalho</w:t>
      </w:r>
    </w:p>
    <w:p w:rsidR="00627149" w:rsidRPr="00D17CDC" w:rsidRDefault="00627149" w:rsidP="00562AD5">
      <w:pPr>
        <w:pStyle w:val="PargrafodaLista"/>
        <w:numPr>
          <w:ilvl w:val="0"/>
          <w:numId w:val="4"/>
        </w:numPr>
        <w:spacing w:after="200" w:line="276" w:lineRule="auto"/>
        <w:jc w:val="both"/>
        <w:rPr>
          <w:rFonts w:ascii="Arial" w:hAnsi="Arial" w:cs="Helv"/>
          <w:b/>
          <w:bCs/>
          <w:sz w:val="22"/>
          <w:szCs w:val="22"/>
        </w:rPr>
      </w:pPr>
      <w:r w:rsidRPr="00D17CDC">
        <w:rPr>
          <w:rFonts w:ascii="Arial" w:hAnsi="Arial" w:cs="Helv"/>
          <w:b/>
          <w:bCs/>
          <w:sz w:val="22"/>
          <w:szCs w:val="22"/>
        </w:rPr>
        <w:t xml:space="preserve">Taxa combinada da desocupação </w:t>
      </w:r>
      <w:r>
        <w:rPr>
          <w:rFonts w:ascii="Arial" w:hAnsi="Arial" w:cs="Helv"/>
          <w:b/>
          <w:bCs/>
          <w:sz w:val="22"/>
          <w:szCs w:val="22"/>
        </w:rPr>
        <w:t xml:space="preserve">e </w:t>
      </w:r>
      <w:r w:rsidRPr="00D17CDC">
        <w:rPr>
          <w:rFonts w:ascii="Arial" w:hAnsi="Arial" w:cs="Helv"/>
          <w:b/>
          <w:bCs/>
          <w:sz w:val="22"/>
          <w:szCs w:val="22"/>
        </w:rPr>
        <w:t xml:space="preserve">subocupação por insuficiência de horas </w:t>
      </w:r>
      <w:r>
        <w:rPr>
          <w:rFonts w:ascii="Arial" w:hAnsi="Arial" w:cs="Helv"/>
          <w:b/>
          <w:bCs/>
          <w:sz w:val="22"/>
          <w:szCs w:val="22"/>
        </w:rPr>
        <w:t>trabalhadas</w:t>
      </w:r>
      <w:r w:rsidRPr="00D17CDC">
        <w:rPr>
          <w:rFonts w:ascii="Arial" w:hAnsi="Arial" w:cs="Helv"/>
          <w:b/>
          <w:bCs/>
          <w:sz w:val="22"/>
          <w:szCs w:val="22"/>
        </w:rPr>
        <w:t xml:space="preserve"> </w:t>
      </w:r>
    </w:p>
    <w:p w:rsidR="00627149" w:rsidRDefault="00627149" w:rsidP="00627149">
      <w:pPr>
        <w:ind w:left="708"/>
        <w:rPr>
          <w:bCs/>
          <w:i/>
          <w:sz w:val="25"/>
          <w:szCs w:val="25"/>
        </w:rPr>
      </w:pPr>
      <w:r>
        <w:rPr>
          <w:i/>
          <w:sz w:val="25"/>
          <w:szCs w:val="25"/>
        </w:rPr>
        <w:t>Numerador – Subocupados por insuficiência de horas + desocupados</w:t>
      </w:r>
    </w:p>
    <w:p w:rsidR="00627149" w:rsidRDefault="00627149" w:rsidP="00627149">
      <w:pPr>
        <w:ind w:left="708"/>
        <w:rPr>
          <w:bCs/>
          <w:i/>
          <w:sz w:val="25"/>
          <w:szCs w:val="25"/>
        </w:rPr>
      </w:pPr>
      <w:r>
        <w:rPr>
          <w:i/>
          <w:sz w:val="25"/>
          <w:szCs w:val="25"/>
        </w:rPr>
        <w:t>Denominador – Força de Trabalho</w:t>
      </w:r>
    </w:p>
    <w:p w:rsidR="00627149" w:rsidRDefault="00627149" w:rsidP="00627149">
      <w:pPr>
        <w:ind w:left="708"/>
        <w:rPr>
          <w:b/>
          <w:bCs/>
          <w:i/>
          <w:sz w:val="25"/>
          <w:szCs w:val="25"/>
        </w:rPr>
      </w:pPr>
    </w:p>
    <w:p w:rsidR="00627149" w:rsidRPr="00D17CDC" w:rsidRDefault="00627149" w:rsidP="00627149">
      <w:pPr>
        <w:pStyle w:val="PargrafodaLista"/>
        <w:numPr>
          <w:ilvl w:val="0"/>
          <w:numId w:val="4"/>
        </w:numPr>
        <w:spacing w:after="200" w:line="276" w:lineRule="auto"/>
        <w:rPr>
          <w:rFonts w:ascii="Arial" w:hAnsi="Arial" w:cs="Helv"/>
          <w:b/>
          <w:bCs/>
          <w:sz w:val="22"/>
          <w:szCs w:val="22"/>
        </w:rPr>
      </w:pPr>
      <w:r w:rsidRPr="00D17CDC">
        <w:rPr>
          <w:rFonts w:ascii="Arial" w:hAnsi="Arial" w:cs="Helv"/>
          <w:b/>
          <w:bCs/>
          <w:sz w:val="22"/>
          <w:szCs w:val="22"/>
        </w:rPr>
        <w:t>Taxa combinada da desocupação e da força de trabalho potencial</w:t>
      </w:r>
    </w:p>
    <w:p w:rsidR="00627149" w:rsidRDefault="00627149" w:rsidP="00627149">
      <w:pPr>
        <w:ind w:left="708"/>
        <w:rPr>
          <w:bCs/>
          <w:i/>
          <w:sz w:val="25"/>
          <w:szCs w:val="25"/>
        </w:rPr>
      </w:pPr>
      <w:r>
        <w:rPr>
          <w:i/>
          <w:sz w:val="25"/>
          <w:szCs w:val="25"/>
        </w:rPr>
        <w:t>Numerador – Desocupados + Força de Trabalho Potencial</w:t>
      </w:r>
    </w:p>
    <w:p w:rsidR="00627149" w:rsidRDefault="00627149" w:rsidP="00627149">
      <w:pPr>
        <w:ind w:left="708"/>
        <w:rPr>
          <w:bCs/>
          <w:i/>
          <w:sz w:val="25"/>
          <w:szCs w:val="25"/>
        </w:rPr>
      </w:pPr>
      <w:r>
        <w:rPr>
          <w:i/>
          <w:sz w:val="25"/>
          <w:szCs w:val="25"/>
        </w:rPr>
        <w:t xml:space="preserve">Denominador – Força de Trabalho Ampliada </w:t>
      </w:r>
    </w:p>
    <w:p w:rsidR="00627149" w:rsidRDefault="00627149" w:rsidP="00627149">
      <w:pPr>
        <w:spacing w:after="200" w:line="276" w:lineRule="auto"/>
        <w:rPr>
          <w:sz w:val="25"/>
          <w:szCs w:val="25"/>
        </w:rPr>
      </w:pPr>
    </w:p>
    <w:p w:rsidR="00627149" w:rsidRPr="00D17CDC" w:rsidRDefault="00627149" w:rsidP="00627149">
      <w:pPr>
        <w:pStyle w:val="PargrafodaLista"/>
        <w:numPr>
          <w:ilvl w:val="0"/>
          <w:numId w:val="4"/>
        </w:numPr>
        <w:spacing w:after="200" w:line="276" w:lineRule="auto"/>
        <w:rPr>
          <w:rFonts w:ascii="Arial" w:hAnsi="Arial" w:cs="Helv"/>
          <w:b/>
          <w:bCs/>
          <w:sz w:val="22"/>
          <w:szCs w:val="22"/>
        </w:rPr>
      </w:pPr>
      <w:r w:rsidRPr="00D17CDC">
        <w:rPr>
          <w:rFonts w:ascii="Arial" w:hAnsi="Arial" w:cs="Helv"/>
          <w:b/>
          <w:bCs/>
          <w:sz w:val="22"/>
          <w:szCs w:val="22"/>
        </w:rPr>
        <w:t xml:space="preserve">Taxa </w:t>
      </w:r>
      <w:r w:rsidR="009F57C0">
        <w:rPr>
          <w:rFonts w:ascii="Arial" w:hAnsi="Arial" w:cs="Helv"/>
          <w:b/>
          <w:bCs/>
          <w:sz w:val="22"/>
          <w:szCs w:val="22"/>
        </w:rPr>
        <w:t>c</w:t>
      </w:r>
      <w:r w:rsidRPr="00D17CDC">
        <w:rPr>
          <w:rFonts w:ascii="Arial" w:hAnsi="Arial" w:cs="Helv"/>
          <w:b/>
          <w:bCs/>
          <w:sz w:val="22"/>
          <w:szCs w:val="22"/>
        </w:rPr>
        <w:t xml:space="preserve">omposta da subutilização da </w:t>
      </w:r>
      <w:r w:rsidR="009F57C0">
        <w:rPr>
          <w:rFonts w:ascii="Arial" w:hAnsi="Arial" w:cs="Helv"/>
          <w:b/>
          <w:bCs/>
          <w:sz w:val="22"/>
          <w:szCs w:val="22"/>
        </w:rPr>
        <w:t>f</w:t>
      </w:r>
      <w:r w:rsidRPr="00D17CDC">
        <w:rPr>
          <w:rFonts w:ascii="Arial" w:hAnsi="Arial" w:cs="Helv"/>
          <w:b/>
          <w:bCs/>
          <w:sz w:val="22"/>
          <w:szCs w:val="22"/>
        </w:rPr>
        <w:t xml:space="preserve">orça de </w:t>
      </w:r>
      <w:r w:rsidR="009F57C0">
        <w:rPr>
          <w:rFonts w:ascii="Arial" w:hAnsi="Arial" w:cs="Helv"/>
          <w:b/>
          <w:bCs/>
          <w:sz w:val="22"/>
          <w:szCs w:val="22"/>
        </w:rPr>
        <w:t>t</w:t>
      </w:r>
      <w:r w:rsidRPr="00D17CDC">
        <w:rPr>
          <w:rFonts w:ascii="Arial" w:hAnsi="Arial" w:cs="Helv"/>
          <w:b/>
          <w:bCs/>
          <w:sz w:val="22"/>
          <w:szCs w:val="22"/>
        </w:rPr>
        <w:t xml:space="preserve">rabalho </w:t>
      </w:r>
    </w:p>
    <w:p w:rsidR="00627149" w:rsidRDefault="00627149" w:rsidP="00627149">
      <w:pPr>
        <w:ind w:left="1416" w:firstLine="0"/>
        <w:rPr>
          <w:bCs/>
          <w:i/>
          <w:sz w:val="25"/>
          <w:szCs w:val="25"/>
        </w:rPr>
      </w:pPr>
      <w:r>
        <w:rPr>
          <w:i/>
          <w:sz w:val="25"/>
          <w:szCs w:val="25"/>
        </w:rPr>
        <w:t xml:space="preserve">Numerador – Subocupados por insuficiência de horas + desocupados + força de trabalho potencial </w:t>
      </w:r>
    </w:p>
    <w:p w:rsidR="00627149" w:rsidRDefault="00627149" w:rsidP="00627149">
      <w:pPr>
        <w:ind w:left="1416" w:hanging="113"/>
      </w:pPr>
      <w:r>
        <w:rPr>
          <w:i/>
          <w:sz w:val="25"/>
          <w:szCs w:val="25"/>
        </w:rPr>
        <w:t xml:space="preserve">  Denominador – Força de Trabalho ampliada</w:t>
      </w:r>
    </w:p>
    <w:p w:rsidR="00627149" w:rsidRDefault="00627149" w:rsidP="00627149">
      <w:pPr>
        <w:spacing w:after="200" w:line="276" w:lineRule="auto"/>
        <w:ind w:firstLine="708"/>
        <w:jc w:val="left"/>
        <w:rPr>
          <w:sz w:val="25"/>
          <w:szCs w:val="25"/>
        </w:rPr>
      </w:pPr>
    </w:p>
    <w:p w:rsidR="00627149" w:rsidRDefault="00627149" w:rsidP="00627149">
      <w:pPr>
        <w:suppressAutoHyphens w:val="0"/>
        <w:spacing w:line="276" w:lineRule="auto"/>
        <w:ind w:firstLine="0"/>
        <w:jc w:val="left"/>
        <w:rPr>
          <w:sz w:val="25"/>
          <w:szCs w:val="25"/>
        </w:rPr>
      </w:pPr>
      <w:r>
        <w:rPr>
          <w:sz w:val="25"/>
          <w:szCs w:val="25"/>
        </w:rPr>
        <w:br w:type="page"/>
      </w:r>
    </w:p>
    <w:p w:rsidR="00627149" w:rsidRDefault="00627149" w:rsidP="00627149">
      <w:pPr>
        <w:spacing w:line="360" w:lineRule="auto"/>
        <w:jc w:val="left"/>
        <w:rPr>
          <w:sz w:val="25"/>
          <w:szCs w:val="25"/>
        </w:rPr>
      </w:pPr>
      <w:r>
        <w:rPr>
          <w:sz w:val="25"/>
          <w:szCs w:val="25"/>
        </w:rPr>
        <w:lastRenderedPageBreak/>
        <w:t xml:space="preserve">Os esquema a seguir ilustra como está classificada a população de 14 anos ou mais de idade levando em consideração a condição de atividade. </w:t>
      </w:r>
    </w:p>
    <w:p w:rsidR="00AC5B9F" w:rsidRDefault="00AC5B9F" w:rsidP="00AC5B9F">
      <w:pPr>
        <w:spacing w:line="360" w:lineRule="auto"/>
        <w:ind w:firstLine="0"/>
        <w:rPr>
          <w:sz w:val="25"/>
          <w:szCs w:val="25"/>
        </w:rPr>
      </w:pPr>
      <w:r w:rsidRPr="00AC5B9F">
        <w:drawing>
          <wp:inline distT="0" distB="0" distL="0" distR="0" wp14:anchorId="516A65A3" wp14:editId="3AA3ACD6">
            <wp:extent cx="6480810" cy="44577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810" cy="4457700"/>
                    </a:xfrm>
                    <a:prstGeom prst="rect">
                      <a:avLst/>
                    </a:prstGeom>
                  </pic:spPr>
                </pic:pic>
              </a:graphicData>
            </a:graphic>
          </wp:inline>
        </w:drawing>
      </w:r>
    </w:p>
    <w:p w:rsidR="00627149" w:rsidRDefault="00627149" w:rsidP="00627149">
      <w:pPr>
        <w:spacing w:line="360" w:lineRule="auto"/>
        <w:jc w:val="left"/>
        <w:rPr>
          <w:sz w:val="25"/>
          <w:szCs w:val="25"/>
        </w:rPr>
      </w:pPr>
    </w:p>
    <w:p w:rsidR="00627149" w:rsidRDefault="00627149" w:rsidP="00627149">
      <w:pPr>
        <w:suppressAutoHyphens w:val="0"/>
        <w:spacing w:line="276" w:lineRule="auto"/>
        <w:ind w:firstLine="0"/>
        <w:jc w:val="left"/>
        <w:rPr>
          <w:b/>
          <w:sz w:val="32"/>
        </w:rPr>
      </w:pPr>
      <w:r>
        <w:rPr>
          <w:b/>
          <w:sz w:val="32"/>
        </w:rPr>
        <w:br w:type="page"/>
      </w:r>
    </w:p>
    <w:p w:rsidR="00627149" w:rsidRPr="00944D3B" w:rsidRDefault="00627149" w:rsidP="00627149">
      <w:pPr>
        <w:suppressAutoHyphens w:val="0"/>
        <w:spacing w:line="276" w:lineRule="auto"/>
        <w:ind w:firstLine="0"/>
        <w:jc w:val="center"/>
        <w:rPr>
          <w:b/>
          <w:sz w:val="32"/>
        </w:rPr>
      </w:pPr>
      <w:r w:rsidRPr="00944D3B">
        <w:rPr>
          <w:b/>
          <w:sz w:val="32"/>
        </w:rPr>
        <w:lastRenderedPageBreak/>
        <w:t>Comentários</w:t>
      </w:r>
    </w:p>
    <w:p w:rsidR="00627149" w:rsidRDefault="00627149" w:rsidP="00627149">
      <w:pPr>
        <w:ind w:firstLine="720"/>
        <w:jc w:val="center"/>
        <w:rPr>
          <w:b/>
          <w:sz w:val="24"/>
          <w:szCs w:val="24"/>
        </w:rPr>
      </w:pPr>
    </w:p>
    <w:p w:rsidR="00627149" w:rsidRDefault="00627149" w:rsidP="00627149">
      <w:pPr>
        <w:ind w:firstLine="720"/>
        <w:jc w:val="center"/>
        <w:rPr>
          <w:b/>
          <w:sz w:val="24"/>
          <w:szCs w:val="24"/>
        </w:rPr>
      </w:pPr>
    </w:p>
    <w:p w:rsidR="00627149" w:rsidRDefault="00627149" w:rsidP="00627149">
      <w:pPr>
        <w:ind w:firstLine="720"/>
        <w:jc w:val="center"/>
        <w:rPr>
          <w:b/>
          <w:sz w:val="28"/>
          <w:szCs w:val="24"/>
        </w:rPr>
      </w:pPr>
      <w:r w:rsidRPr="0038520A">
        <w:rPr>
          <w:b/>
          <w:sz w:val="28"/>
          <w:szCs w:val="24"/>
        </w:rPr>
        <w:t>Medidas de Subutilização da Força de Trabalho</w:t>
      </w:r>
    </w:p>
    <w:p w:rsidR="00627149" w:rsidRPr="0038520A" w:rsidRDefault="00627149" w:rsidP="00627149">
      <w:pPr>
        <w:ind w:firstLine="720"/>
        <w:jc w:val="center"/>
        <w:rPr>
          <w:b/>
          <w:sz w:val="28"/>
          <w:szCs w:val="24"/>
        </w:rPr>
      </w:pPr>
      <w:r>
        <w:rPr>
          <w:b/>
          <w:sz w:val="28"/>
          <w:szCs w:val="24"/>
        </w:rPr>
        <w:t>Enfoque regional</w:t>
      </w:r>
    </w:p>
    <w:p w:rsidR="00627149" w:rsidRDefault="00627149" w:rsidP="00627149">
      <w:pPr>
        <w:ind w:firstLine="720"/>
        <w:jc w:val="center"/>
        <w:rPr>
          <w:b/>
          <w:sz w:val="24"/>
          <w:szCs w:val="24"/>
        </w:rPr>
      </w:pPr>
    </w:p>
    <w:p w:rsidR="00627149" w:rsidRPr="0038520A" w:rsidRDefault="00627149" w:rsidP="00627149">
      <w:pPr>
        <w:pStyle w:val="PargrafodaLista"/>
        <w:numPr>
          <w:ilvl w:val="0"/>
          <w:numId w:val="25"/>
        </w:numPr>
        <w:suppressAutoHyphens w:val="0"/>
        <w:spacing w:after="200" w:line="276" w:lineRule="auto"/>
        <w:jc w:val="both"/>
        <w:rPr>
          <w:rFonts w:asciiTheme="minorHAnsi" w:eastAsiaTheme="minorHAnsi" w:hAnsiTheme="minorHAnsi" w:cstheme="minorBidi"/>
          <w:b/>
        </w:rPr>
      </w:pPr>
      <w:r w:rsidRPr="0038520A">
        <w:rPr>
          <w:rFonts w:asciiTheme="minorHAnsi" w:eastAsiaTheme="minorHAnsi" w:hAnsiTheme="minorHAnsi" w:cstheme="minorBidi"/>
          <w:b/>
        </w:rPr>
        <w:t>Introdução</w:t>
      </w:r>
    </w:p>
    <w:p w:rsidR="00627149" w:rsidRPr="00830476" w:rsidRDefault="00627149" w:rsidP="00627149">
      <w:pPr>
        <w:spacing w:line="360" w:lineRule="auto"/>
        <w:ind w:firstLine="720"/>
        <w:rPr>
          <w:sz w:val="24"/>
          <w:szCs w:val="24"/>
        </w:rPr>
      </w:pPr>
      <w:r w:rsidRPr="00830476">
        <w:rPr>
          <w:sz w:val="24"/>
          <w:szCs w:val="24"/>
        </w:rPr>
        <w:t>A partir desta divulgação da PNAD Contínua, passam a ser disponibilizadas as primeiras informações regionais referentes às medidas de subutilização da força de trabalho que vão além da taxa de desocupação. Estas medidas passam a ser incorporadas e divulgadas trimestralmente.</w:t>
      </w:r>
      <w:r>
        <w:rPr>
          <w:sz w:val="24"/>
          <w:szCs w:val="24"/>
        </w:rPr>
        <w:t xml:space="preserve"> Estão sendo disponibilizadas também desagregações por sexo e idade.</w:t>
      </w:r>
    </w:p>
    <w:p w:rsidR="00627149" w:rsidRDefault="00627149" w:rsidP="00627149">
      <w:pPr>
        <w:spacing w:line="360" w:lineRule="auto"/>
        <w:ind w:firstLine="720"/>
        <w:rPr>
          <w:sz w:val="24"/>
          <w:szCs w:val="24"/>
        </w:rPr>
      </w:pPr>
      <w:r w:rsidRPr="003162DF">
        <w:rPr>
          <w:noProof/>
          <w:lang w:eastAsia="pt-BR"/>
        </w:rPr>
        <w:drawing>
          <wp:anchor distT="0" distB="0" distL="114300" distR="114300" simplePos="0" relativeHeight="251940864" behindDoc="0" locked="0" layoutInCell="1" allowOverlap="1" wp14:anchorId="7D4C7AC7" wp14:editId="7A0F3234">
            <wp:simplePos x="0" y="0"/>
            <wp:positionH relativeFrom="margin">
              <wp:align>left</wp:align>
            </wp:positionH>
            <wp:positionV relativeFrom="paragraph">
              <wp:posOffset>937476</wp:posOffset>
            </wp:positionV>
            <wp:extent cx="6439535" cy="3223895"/>
            <wp:effectExtent l="0" t="0" r="0" b="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39535" cy="322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476">
        <w:rPr>
          <w:sz w:val="24"/>
          <w:szCs w:val="24"/>
        </w:rPr>
        <w:t xml:space="preserve">O gráfico a seguir mostra a série completa das quatro taxas de subutilização da força de trabalho no Brasil. </w:t>
      </w:r>
      <w:r>
        <w:rPr>
          <w:sz w:val="24"/>
          <w:szCs w:val="24"/>
        </w:rPr>
        <w:t>Para as quatro</w:t>
      </w:r>
      <w:r w:rsidRPr="00830476">
        <w:rPr>
          <w:sz w:val="24"/>
          <w:szCs w:val="24"/>
        </w:rPr>
        <w:t xml:space="preserve"> medidas observadas no País, verifica-se que no terceiro trimestre de 2016 foi atingida a maior estimativa da série, iniciada no primeiro trimestre de 2012. </w:t>
      </w:r>
    </w:p>
    <w:p w:rsidR="00627149" w:rsidRPr="00133542" w:rsidRDefault="00627149" w:rsidP="00627149">
      <w:pPr>
        <w:ind w:firstLine="0"/>
        <w:rPr>
          <w:i/>
          <w:szCs w:val="24"/>
        </w:rPr>
      </w:pPr>
      <w:r w:rsidRPr="00133542">
        <w:rPr>
          <w:i/>
          <w:szCs w:val="24"/>
        </w:rPr>
        <w:t>Fonte: Pesquisa Nacional por Amostra de Domicílios Contínua – PNAD Contínua.</w:t>
      </w:r>
    </w:p>
    <w:p w:rsidR="00627149" w:rsidRPr="00830476" w:rsidRDefault="00627149" w:rsidP="00627149">
      <w:pPr>
        <w:ind w:firstLine="720"/>
        <w:rPr>
          <w:sz w:val="24"/>
          <w:szCs w:val="24"/>
        </w:rPr>
      </w:pPr>
    </w:p>
    <w:p w:rsidR="00627149" w:rsidRDefault="00627149" w:rsidP="00627149">
      <w:pPr>
        <w:suppressAutoHyphens w:val="0"/>
        <w:spacing w:line="276" w:lineRule="auto"/>
        <w:ind w:firstLine="0"/>
        <w:jc w:val="left"/>
        <w:rPr>
          <w:sz w:val="24"/>
          <w:szCs w:val="24"/>
        </w:rPr>
      </w:pPr>
      <w:r>
        <w:rPr>
          <w:sz w:val="24"/>
          <w:szCs w:val="24"/>
        </w:rPr>
        <w:br w:type="page"/>
      </w:r>
    </w:p>
    <w:p w:rsidR="00627149" w:rsidRDefault="00627149" w:rsidP="00627149">
      <w:pPr>
        <w:spacing w:line="360" w:lineRule="auto"/>
        <w:ind w:firstLine="720"/>
        <w:rPr>
          <w:sz w:val="24"/>
          <w:szCs w:val="24"/>
        </w:rPr>
      </w:pPr>
      <w:r w:rsidRPr="00830476">
        <w:rPr>
          <w:sz w:val="24"/>
          <w:szCs w:val="24"/>
        </w:rPr>
        <w:lastRenderedPageBreak/>
        <w:t>O resultado consolidado dessas medidas por região, aponta a Nordeste como a região onde foram observadas as maiores taxas de subutilização da força de trabalho e, na Sul, as menores.</w:t>
      </w:r>
    </w:p>
    <w:p w:rsidR="00627149" w:rsidRPr="00830476" w:rsidRDefault="00627149" w:rsidP="00627149">
      <w:pPr>
        <w:ind w:firstLine="720"/>
        <w:rPr>
          <w:sz w:val="24"/>
          <w:szCs w:val="24"/>
        </w:rPr>
      </w:pPr>
      <w:r w:rsidRPr="00830476">
        <w:rPr>
          <w:noProof/>
          <w:sz w:val="24"/>
          <w:szCs w:val="24"/>
          <w:lang w:eastAsia="pt-BR"/>
        </w:rPr>
        <w:drawing>
          <wp:anchor distT="0" distB="0" distL="114300" distR="114300" simplePos="0" relativeHeight="251937792" behindDoc="0" locked="0" layoutInCell="1" allowOverlap="1" wp14:anchorId="3405F64B" wp14:editId="63C66965">
            <wp:simplePos x="0" y="0"/>
            <wp:positionH relativeFrom="margin">
              <wp:align>left</wp:align>
            </wp:positionH>
            <wp:positionV relativeFrom="paragraph">
              <wp:posOffset>254068</wp:posOffset>
            </wp:positionV>
            <wp:extent cx="6335395" cy="2791460"/>
            <wp:effectExtent l="0" t="0" r="8255" b="8890"/>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5395" cy="279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149" w:rsidRDefault="00627149" w:rsidP="00627149">
      <w:pPr>
        <w:ind w:firstLine="0"/>
        <w:rPr>
          <w:i/>
          <w:szCs w:val="24"/>
        </w:rPr>
      </w:pPr>
      <w:r w:rsidRPr="00133542">
        <w:rPr>
          <w:i/>
          <w:szCs w:val="24"/>
        </w:rPr>
        <w:t>Fonte: Pesquisa Nacional por Amostra de Domicílios Contínua – PNAD Contínua.</w:t>
      </w:r>
    </w:p>
    <w:p w:rsidR="00627149" w:rsidRDefault="00627149" w:rsidP="00627149">
      <w:pPr>
        <w:ind w:firstLine="0"/>
        <w:rPr>
          <w:i/>
          <w:szCs w:val="24"/>
        </w:rPr>
      </w:pPr>
    </w:p>
    <w:p w:rsidR="00627149" w:rsidRDefault="00627149" w:rsidP="00627149">
      <w:pPr>
        <w:suppressAutoHyphens w:val="0"/>
        <w:spacing w:line="276" w:lineRule="auto"/>
        <w:ind w:firstLine="0"/>
        <w:jc w:val="left"/>
        <w:rPr>
          <w:rFonts w:ascii="Times New Roman" w:eastAsia="Times New Roman" w:hAnsi="Times New Roman" w:cs="Times New Roman"/>
          <w:b/>
          <w:sz w:val="24"/>
          <w:szCs w:val="24"/>
        </w:rPr>
      </w:pPr>
      <w:r>
        <w:rPr>
          <w:b/>
        </w:rPr>
        <w:br w:type="page"/>
      </w:r>
    </w:p>
    <w:p w:rsidR="00627149" w:rsidRPr="0038520A" w:rsidRDefault="00627149" w:rsidP="00627149">
      <w:pPr>
        <w:pStyle w:val="PargrafodaLista"/>
        <w:numPr>
          <w:ilvl w:val="0"/>
          <w:numId w:val="25"/>
        </w:numPr>
        <w:suppressAutoHyphens w:val="0"/>
        <w:spacing w:after="200" w:line="276" w:lineRule="auto"/>
        <w:jc w:val="both"/>
        <w:rPr>
          <w:rFonts w:asciiTheme="minorHAnsi" w:eastAsiaTheme="minorHAnsi" w:hAnsiTheme="minorHAnsi" w:cstheme="minorBidi"/>
          <w:b/>
        </w:rPr>
      </w:pPr>
      <w:r w:rsidRPr="0038520A">
        <w:rPr>
          <w:rFonts w:asciiTheme="minorHAnsi" w:eastAsiaTheme="minorHAnsi" w:hAnsiTheme="minorHAnsi" w:cstheme="minorBidi"/>
          <w:b/>
        </w:rPr>
        <w:lastRenderedPageBreak/>
        <w:t>Taxa de desocupação</w:t>
      </w:r>
    </w:p>
    <w:p w:rsidR="00627149" w:rsidRPr="00830476" w:rsidRDefault="00627149" w:rsidP="00627149">
      <w:pPr>
        <w:spacing w:line="360" w:lineRule="auto"/>
        <w:ind w:firstLine="720"/>
        <w:rPr>
          <w:sz w:val="24"/>
          <w:szCs w:val="24"/>
        </w:rPr>
      </w:pPr>
      <w:r w:rsidRPr="00830476">
        <w:rPr>
          <w:noProof/>
          <w:sz w:val="24"/>
          <w:szCs w:val="24"/>
          <w:lang w:eastAsia="pt-BR"/>
        </w:rPr>
        <w:drawing>
          <wp:anchor distT="0" distB="0" distL="114300" distR="114300" simplePos="0" relativeHeight="251932672" behindDoc="0" locked="0" layoutInCell="1" allowOverlap="1" wp14:anchorId="4DC632D7" wp14:editId="47993234">
            <wp:simplePos x="0" y="0"/>
            <wp:positionH relativeFrom="margin">
              <wp:align>center</wp:align>
            </wp:positionH>
            <wp:positionV relativeFrom="paragraph">
              <wp:posOffset>1447800</wp:posOffset>
            </wp:positionV>
            <wp:extent cx="6166485" cy="3764280"/>
            <wp:effectExtent l="0" t="0" r="5715" b="7620"/>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6485" cy="376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476">
        <w:rPr>
          <w:sz w:val="24"/>
          <w:szCs w:val="24"/>
        </w:rPr>
        <w:t>Em geral, as maiores taxas de desocupação foram observadas nos estados da Região Nordeste, e a</w:t>
      </w:r>
      <w:r>
        <w:rPr>
          <w:sz w:val="24"/>
          <w:szCs w:val="24"/>
        </w:rPr>
        <w:t>s</w:t>
      </w:r>
      <w:r w:rsidRPr="00830476">
        <w:rPr>
          <w:sz w:val="24"/>
          <w:szCs w:val="24"/>
        </w:rPr>
        <w:t xml:space="preserve"> menores nos da Região Sul, conforme mostra o gráfico a seguir</w:t>
      </w:r>
      <w:r>
        <w:rPr>
          <w:sz w:val="24"/>
          <w:szCs w:val="24"/>
        </w:rPr>
        <w:t>, com informações referentes ao</w:t>
      </w:r>
      <w:r w:rsidRPr="00830476">
        <w:rPr>
          <w:sz w:val="24"/>
          <w:szCs w:val="24"/>
        </w:rPr>
        <w:t xml:space="preserve"> 3º trimestre de 2016. Bahia (15,9%), Pernambuco (15,3%) e Amapá (14,9%) foram os estados com </w:t>
      </w:r>
      <w:r>
        <w:rPr>
          <w:sz w:val="24"/>
          <w:szCs w:val="24"/>
        </w:rPr>
        <w:t xml:space="preserve">as maiores taxas de desocupação. </w:t>
      </w:r>
      <w:r w:rsidRPr="00830476">
        <w:rPr>
          <w:sz w:val="24"/>
          <w:szCs w:val="24"/>
        </w:rPr>
        <w:t xml:space="preserve">As menores taxas </w:t>
      </w:r>
      <w:r>
        <w:rPr>
          <w:sz w:val="24"/>
          <w:szCs w:val="24"/>
        </w:rPr>
        <w:t xml:space="preserve">de desocupação </w:t>
      </w:r>
      <w:r w:rsidRPr="00830476">
        <w:rPr>
          <w:sz w:val="24"/>
          <w:szCs w:val="24"/>
        </w:rPr>
        <w:t xml:space="preserve">foram observadas em Santa Catarina (6,4%), Mato Grosso do Sul (7,7%) e Rio Grande do Sul (8,2%). </w:t>
      </w:r>
    </w:p>
    <w:p w:rsidR="00627149" w:rsidRPr="00133542" w:rsidRDefault="00627149" w:rsidP="00627149">
      <w:pPr>
        <w:ind w:left="284" w:firstLine="0"/>
        <w:rPr>
          <w:i/>
          <w:szCs w:val="24"/>
        </w:rPr>
      </w:pPr>
      <w:r w:rsidRPr="00133542">
        <w:rPr>
          <w:i/>
          <w:szCs w:val="24"/>
        </w:rPr>
        <w:t>Fonte: Pesquisa Nacional por Amostra de Domicílios Contínua – PNAD Contínua.</w:t>
      </w:r>
    </w:p>
    <w:p w:rsidR="00627149" w:rsidRPr="00830476" w:rsidRDefault="00627149" w:rsidP="00627149">
      <w:pPr>
        <w:rPr>
          <w:sz w:val="24"/>
          <w:szCs w:val="24"/>
        </w:rPr>
      </w:pPr>
      <w:r w:rsidRPr="00830476">
        <w:rPr>
          <w:sz w:val="24"/>
          <w:szCs w:val="24"/>
        </w:rPr>
        <w:br w:type="page"/>
      </w:r>
    </w:p>
    <w:p w:rsidR="00627149" w:rsidRPr="0038520A" w:rsidRDefault="00627149" w:rsidP="00627149">
      <w:pPr>
        <w:pStyle w:val="PargrafodaLista"/>
        <w:numPr>
          <w:ilvl w:val="0"/>
          <w:numId w:val="25"/>
        </w:numPr>
        <w:suppressAutoHyphens w:val="0"/>
        <w:spacing w:after="200" w:line="276" w:lineRule="auto"/>
        <w:jc w:val="both"/>
        <w:rPr>
          <w:rFonts w:asciiTheme="minorHAnsi" w:eastAsiaTheme="minorHAnsi" w:hAnsiTheme="minorHAnsi" w:cstheme="minorBidi"/>
          <w:b/>
        </w:rPr>
      </w:pPr>
      <w:r w:rsidRPr="0038520A">
        <w:rPr>
          <w:rFonts w:asciiTheme="minorHAnsi" w:eastAsiaTheme="minorHAnsi" w:hAnsiTheme="minorHAnsi" w:cstheme="minorBidi"/>
          <w:b/>
        </w:rPr>
        <w:lastRenderedPageBreak/>
        <w:t>Taxa combinada de subocupação por insuficiência de horas trabalhadas e desocupação, na semana de referência, das pessoas de 14 anos ou mais de idade.</w:t>
      </w:r>
    </w:p>
    <w:p w:rsidR="00627149" w:rsidRPr="00830476" w:rsidRDefault="00627149" w:rsidP="00627149">
      <w:pPr>
        <w:spacing w:line="360" w:lineRule="auto"/>
        <w:ind w:firstLine="720"/>
        <w:rPr>
          <w:sz w:val="24"/>
          <w:szCs w:val="24"/>
        </w:rPr>
      </w:pPr>
      <w:r w:rsidRPr="00830476">
        <w:rPr>
          <w:noProof/>
          <w:sz w:val="24"/>
          <w:szCs w:val="24"/>
          <w:lang w:eastAsia="pt-BR"/>
        </w:rPr>
        <w:drawing>
          <wp:anchor distT="0" distB="0" distL="114300" distR="114300" simplePos="0" relativeHeight="251933696" behindDoc="0" locked="0" layoutInCell="1" allowOverlap="1" wp14:anchorId="5B27D566" wp14:editId="22328219">
            <wp:simplePos x="0" y="0"/>
            <wp:positionH relativeFrom="column">
              <wp:posOffset>108585</wp:posOffset>
            </wp:positionH>
            <wp:positionV relativeFrom="paragraph">
              <wp:posOffset>1739265</wp:posOffset>
            </wp:positionV>
            <wp:extent cx="6235065" cy="3833495"/>
            <wp:effectExtent l="0" t="0" r="0" b="0"/>
            <wp:wrapTopAndBottom/>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35065" cy="38334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As </w:t>
      </w:r>
      <w:r w:rsidRPr="00830476">
        <w:rPr>
          <w:sz w:val="24"/>
          <w:szCs w:val="24"/>
        </w:rPr>
        <w:t>maiores taxas combinadas de subocupação por insuficiência de horas trabalhadas e desocupação, também foram observadas nos estados da Região Nordeste, e a</w:t>
      </w:r>
      <w:r>
        <w:rPr>
          <w:sz w:val="24"/>
          <w:szCs w:val="24"/>
        </w:rPr>
        <w:t>s</w:t>
      </w:r>
      <w:r w:rsidRPr="00830476">
        <w:rPr>
          <w:sz w:val="24"/>
          <w:szCs w:val="24"/>
        </w:rPr>
        <w:t xml:space="preserve"> menores nos da Região Sul, conforme mostra o gráfico a seguir</w:t>
      </w:r>
      <w:r>
        <w:rPr>
          <w:sz w:val="24"/>
          <w:szCs w:val="24"/>
        </w:rPr>
        <w:t xml:space="preserve">, referente ao </w:t>
      </w:r>
      <w:r w:rsidRPr="00830476">
        <w:rPr>
          <w:sz w:val="24"/>
          <w:szCs w:val="24"/>
        </w:rPr>
        <w:t>3º trimestre de 2016. Bahia (26,2%), Sergipe (23,7%) e Piauí e Paraíba (</w:t>
      </w:r>
      <w:r>
        <w:rPr>
          <w:sz w:val="24"/>
          <w:szCs w:val="24"/>
        </w:rPr>
        <w:t xml:space="preserve">ambos com </w:t>
      </w:r>
      <w:r w:rsidRPr="00830476">
        <w:rPr>
          <w:sz w:val="24"/>
          <w:szCs w:val="24"/>
        </w:rPr>
        <w:t>22,9%) foram os estados com as maiores taxas combinadas de subocupação por insuficiência de horas trabalhadas e desocupação. As menores taxas foram observadas em Santa Catarina (8,0%), Mato Grosso</w:t>
      </w:r>
      <w:r>
        <w:rPr>
          <w:sz w:val="24"/>
          <w:szCs w:val="24"/>
        </w:rPr>
        <w:t xml:space="preserve"> </w:t>
      </w:r>
      <w:r w:rsidRPr="00830476">
        <w:rPr>
          <w:sz w:val="24"/>
          <w:szCs w:val="24"/>
        </w:rPr>
        <w:t>(10,6%) e Paraná (11,4%).</w:t>
      </w:r>
    </w:p>
    <w:p w:rsidR="00627149" w:rsidRPr="00133542" w:rsidRDefault="00627149" w:rsidP="00627149">
      <w:pPr>
        <w:ind w:left="142" w:firstLine="0"/>
        <w:rPr>
          <w:i/>
          <w:szCs w:val="24"/>
        </w:rPr>
      </w:pPr>
      <w:r w:rsidRPr="00133542">
        <w:rPr>
          <w:i/>
          <w:szCs w:val="24"/>
        </w:rPr>
        <w:t>Fonte: Pesquisa Nacional por Amostra de Domicílios Contínua – PNAD Contínua.</w:t>
      </w:r>
    </w:p>
    <w:p w:rsidR="00627149" w:rsidRPr="00830476" w:rsidRDefault="00627149" w:rsidP="00627149">
      <w:pPr>
        <w:ind w:left="1080"/>
        <w:rPr>
          <w:sz w:val="24"/>
          <w:szCs w:val="24"/>
        </w:rPr>
      </w:pPr>
    </w:p>
    <w:p w:rsidR="00627149" w:rsidRPr="00830476" w:rsidRDefault="00627149" w:rsidP="00627149">
      <w:pPr>
        <w:rPr>
          <w:sz w:val="24"/>
          <w:szCs w:val="24"/>
        </w:rPr>
      </w:pPr>
      <w:r w:rsidRPr="00830476">
        <w:rPr>
          <w:sz w:val="24"/>
          <w:szCs w:val="24"/>
        </w:rPr>
        <w:br w:type="page"/>
      </w:r>
    </w:p>
    <w:p w:rsidR="00627149" w:rsidRPr="0038520A" w:rsidRDefault="00627149" w:rsidP="00627149">
      <w:pPr>
        <w:pStyle w:val="PargrafodaLista"/>
        <w:numPr>
          <w:ilvl w:val="0"/>
          <w:numId w:val="25"/>
        </w:numPr>
        <w:suppressAutoHyphens w:val="0"/>
        <w:spacing w:after="200" w:line="276" w:lineRule="auto"/>
        <w:jc w:val="both"/>
        <w:rPr>
          <w:rFonts w:asciiTheme="minorHAnsi" w:eastAsiaTheme="minorHAnsi" w:hAnsiTheme="minorHAnsi" w:cstheme="minorBidi"/>
          <w:b/>
        </w:rPr>
      </w:pPr>
      <w:r w:rsidRPr="0038520A">
        <w:rPr>
          <w:rFonts w:asciiTheme="minorHAnsi" w:eastAsiaTheme="minorHAnsi" w:hAnsiTheme="minorHAnsi" w:cstheme="minorBidi"/>
          <w:b/>
        </w:rPr>
        <w:lastRenderedPageBreak/>
        <w:t>Taxa combinada de desocupação e força de trabalho potencial, na semana de referência, das pessoas de 14 anos ou mais de idade.</w:t>
      </w:r>
    </w:p>
    <w:p w:rsidR="00627149" w:rsidRPr="00830476" w:rsidRDefault="00627149" w:rsidP="00627149">
      <w:pPr>
        <w:spacing w:line="360" w:lineRule="auto"/>
        <w:ind w:firstLine="720"/>
        <w:rPr>
          <w:sz w:val="24"/>
          <w:szCs w:val="24"/>
        </w:rPr>
      </w:pPr>
      <w:r w:rsidRPr="00830476">
        <w:rPr>
          <w:noProof/>
          <w:sz w:val="24"/>
          <w:szCs w:val="24"/>
          <w:lang w:eastAsia="pt-BR"/>
        </w:rPr>
        <w:drawing>
          <wp:anchor distT="0" distB="0" distL="114300" distR="114300" simplePos="0" relativeHeight="251934720" behindDoc="0" locked="0" layoutInCell="1" allowOverlap="1" wp14:anchorId="06B5BCF9" wp14:editId="051F3F4D">
            <wp:simplePos x="0" y="0"/>
            <wp:positionH relativeFrom="margin">
              <wp:align>left</wp:align>
            </wp:positionH>
            <wp:positionV relativeFrom="paragraph">
              <wp:posOffset>1477010</wp:posOffset>
            </wp:positionV>
            <wp:extent cx="6370955" cy="4046855"/>
            <wp:effectExtent l="0" t="0" r="0" b="0"/>
            <wp:wrapTopAndBottom/>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70955" cy="404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476">
        <w:rPr>
          <w:sz w:val="24"/>
          <w:szCs w:val="24"/>
        </w:rPr>
        <w:t>Em geral, no 3º trimestre de 2016, as maiores taxas combinadas de desocupação e força de trabalho potencial, também foram observadas nos estados da Região Nordeste, e a</w:t>
      </w:r>
      <w:r>
        <w:rPr>
          <w:sz w:val="24"/>
          <w:szCs w:val="24"/>
        </w:rPr>
        <w:t>s</w:t>
      </w:r>
      <w:r w:rsidRPr="00830476">
        <w:rPr>
          <w:sz w:val="24"/>
          <w:szCs w:val="24"/>
        </w:rPr>
        <w:t xml:space="preserve"> menores nos da Região Sul, conforme mostra o gráfico a seguir. Alagoas (25,4%), Bahia (2</w:t>
      </w:r>
      <w:r>
        <w:rPr>
          <w:sz w:val="24"/>
          <w:szCs w:val="24"/>
        </w:rPr>
        <w:t>4</w:t>
      </w:r>
      <w:r w:rsidRPr="00830476">
        <w:rPr>
          <w:sz w:val="24"/>
          <w:szCs w:val="24"/>
        </w:rPr>
        <w:t>,9%) e Maranhão (24,5%) foram os estados com as maiores taxas combinadas de desocupação e força de trabalho potencial</w:t>
      </w:r>
      <w:r>
        <w:rPr>
          <w:sz w:val="24"/>
          <w:szCs w:val="24"/>
        </w:rPr>
        <w:t>.</w:t>
      </w:r>
      <w:r w:rsidRPr="00830476">
        <w:rPr>
          <w:sz w:val="24"/>
          <w:szCs w:val="24"/>
        </w:rPr>
        <w:t xml:space="preserve"> As menores taxas foram observadas em Santa Catarina (8,1%), Rio Grande do Sul (11,0%) e Paraná (11,</w:t>
      </w:r>
      <w:r>
        <w:rPr>
          <w:sz w:val="24"/>
          <w:szCs w:val="24"/>
        </w:rPr>
        <w:t>4</w:t>
      </w:r>
      <w:r w:rsidRPr="00830476">
        <w:rPr>
          <w:sz w:val="24"/>
          <w:szCs w:val="24"/>
        </w:rPr>
        <w:t>%).</w:t>
      </w:r>
    </w:p>
    <w:p w:rsidR="00627149" w:rsidRPr="00133542" w:rsidRDefault="00627149" w:rsidP="00627149">
      <w:pPr>
        <w:ind w:firstLine="0"/>
        <w:rPr>
          <w:i/>
          <w:szCs w:val="24"/>
        </w:rPr>
      </w:pPr>
      <w:r w:rsidRPr="00133542">
        <w:rPr>
          <w:i/>
          <w:szCs w:val="24"/>
        </w:rPr>
        <w:t>Fonte: Pesquisa Nacional por Amostra de Domicílios Contínua – PNAD Contínua.</w:t>
      </w:r>
    </w:p>
    <w:p w:rsidR="00627149" w:rsidRPr="00830476" w:rsidRDefault="00627149" w:rsidP="00627149">
      <w:pPr>
        <w:ind w:left="1080"/>
        <w:rPr>
          <w:sz w:val="24"/>
          <w:szCs w:val="24"/>
        </w:rPr>
      </w:pPr>
    </w:p>
    <w:p w:rsidR="00627149" w:rsidRPr="00830476" w:rsidRDefault="00627149" w:rsidP="00627149">
      <w:pPr>
        <w:rPr>
          <w:sz w:val="24"/>
          <w:szCs w:val="24"/>
        </w:rPr>
      </w:pPr>
      <w:r w:rsidRPr="00830476">
        <w:rPr>
          <w:sz w:val="24"/>
          <w:szCs w:val="24"/>
        </w:rPr>
        <w:br w:type="page"/>
      </w:r>
    </w:p>
    <w:p w:rsidR="00627149" w:rsidRPr="0038520A" w:rsidRDefault="00627149" w:rsidP="00627149">
      <w:pPr>
        <w:pStyle w:val="PargrafodaLista"/>
        <w:numPr>
          <w:ilvl w:val="0"/>
          <w:numId w:val="25"/>
        </w:numPr>
        <w:suppressAutoHyphens w:val="0"/>
        <w:spacing w:after="200" w:line="276" w:lineRule="auto"/>
        <w:jc w:val="both"/>
        <w:rPr>
          <w:rFonts w:asciiTheme="minorHAnsi" w:eastAsiaTheme="minorHAnsi" w:hAnsiTheme="minorHAnsi" w:cstheme="minorBidi"/>
          <w:b/>
        </w:rPr>
      </w:pPr>
      <w:r w:rsidRPr="0038520A">
        <w:rPr>
          <w:rFonts w:asciiTheme="minorHAnsi" w:eastAsiaTheme="minorHAnsi" w:hAnsiTheme="minorHAnsi" w:cstheme="minorBidi"/>
          <w:b/>
        </w:rPr>
        <w:lastRenderedPageBreak/>
        <w:t>Taxa composta de subutilização da força de trabalho, na semana de referência, das pessoas de 14 anos ou mais de idade</w:t>
      </w:r>
    </w:p>
    <w:p w:rsidR="00627149" w:rsidRPr="00830476" w:rsidRDefault="00627149" w:rsidP="00627149">
      <w:pPr>
        <w:spacing w:line="360" w:lineRule="auto"/>
        <w:ind w:firstLine="720"/>
        <w:rPr>
          <w:sz w:val="24"/>
          <w:szCs w:val="24"/>
        </w:rPr>
      </w:pPr>
      <w:r w:rsidRPr="00830476">
        <w:rPr>
          <w:noProof/>
          <w:sz w:val="24"/>
          <w:szCs w:val="24"/>
          <w:lang w:eastAsia="pt-BR"/>
        </w:rPr>
        <w:drawing>
          <wp:anchor distT="0" distB="0" distL="114300" distR="114300" simplePos="0" relativeHeight="251935744" behindDoc="0" locked="0" layoutInCell="1" allowOverlap="1" wp14:anchorId="1ACC3236" wp14:editId="26AEEECD">
            <wp:simplePos x="0" y="0"/>
            <wp:positionH relativeFrom="column">
              <wp:posOffset>-37465</wp:posOffset>
            </wp:positionH>
            <wp:positionV relativeFrom="paragraph">
              <wp:posOffset>1544955</wp:posOffset>
            </wp:positionV>
            <wp:extent cx="6351905" cy="4077970"/>
            <wp:effectExtent l="0" t="0" r="0" b="0"/>
            <wp:wrapTopAndBottom/>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1905" cy="407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476">
        <w:rPr>
          <w:sz w:val="24"/>
          <w:szCs w:val="24"/>
        </w:rPr>
        <w:t xml:space="preserve">Em geral, no 3º trimestre de 2016, as maiores taxas </w:t>
      </w:r>
      <w:r>
        <w:rPr>
          <w:sz w:val="24"/>
          <w:szCs w:val="24"/>
        </w:rPr>
        <w:t>compostas</w:t>
      </w:r>
      <w:r w:rsidRPr="00830476">
        <w:rPr>
          <w:sz w:val="24"/>
          <w:szCs w:val="24"/>
        </w:rPr>
        <w:t xml:space="preserve"> de </w:t>
      </w:r>
      <w:r>
        <w:rPr>
          <w:sz w:val="24"/>
          <w:szCs w:val="24"/>
        </w:rPr>
        <w:t>subutilização da</w:t>
      </w:r>
      <w:r w:rsidRPr="00830476">
        <w:rPr>
          <w:sz w:val="24"/>
          <w:szCs w:val="24"/>
        </w:rPr>
        <w:t xml:space="preserve"> força de trabalho, também foram observadas nos estados da Região Nordeste, e a</w:t>
      </w:r>
      <w:r>
        <w:rPr>
          <w:sz w:val="24"/>
          <w:szCs w:val="24"/>
        </w:rPr>
        <w:t>s</w:t>
      </w:r>
      <w:r w:rsidRPr="00830476">
        <w:rPr>
          <w:sz w:val="24"/>
          <w:szCs w:val="24"/>
        </w:rPr>
        <w:t xml:space="preserve"> menores nos da Região Sul, conforme mostra o gráfico a seguir. Bahia (34,1%), Piauí (32,6%) e Maranhão e Sergipe (</w:t>
      </w:r>
      <w:r>
        <w:rPr>
          <w:sz w:val="24"/>
          <w:szCs w:val="24"/>
        </w:rPr>
        <w:t xml:space="preserve">ambos com </w:t>
      </w:r>
      <w:r w:rsidRPr="00830476">
        <w:rPr>
          <w:sz w:val="24"/>
          <w:szCs w:val="24"/>
        </w:rPr>
        <w:t xml:space="preserve">31,9%), foram os estados com as maiores taxas </w:t>
      </w:r>
      <w:r>
        <w:rPr>
          <w:sz w:val="24"/>
          <w:szCs w:val="24"/>
        </w:rPr>
        <w:t>compostas</w:t>
      </w:r>
      <w:r w:rsidRPr="00830476">
        <w:rPr>
          <w:sz w:val="24"/>
          <w:szCs w:val="24"/>
        </w:rPr>
        <w:t xml:space="preserve"> de </w:t>
      </w:r>
      <w:r>
        <w:rPr>
          <w:sz w:val="24"/>
          <w:szCs w:val="24"/>
        </w:rPr>
        <w:t>subutilização da</w:t>
      </w:r>
      <w:r w:rsidRPr="00830476">
        <w:rPr>
          <w:sz w:val="24"/>
          <w:szCs w:val="24"/>
        </w:rPr>
        <w:t xml:space="preserve"> força de trabalho. As menores taxas foram observadas em Santa Catarina (9,7%), Mato Grosso (13,2%) e Paraná (14,2%).</w:t>
      </w:r>
    </w:p>
    <w:p w:rsidR="00627149" w:rsidRPr="00133542" w:rsidRDefault="00627149" w:rsidP="00627149">
      <w:pPr>
        <w:ind w:firstLine="0"/>
        <w:rPr>
          <w:i/>
          <w:szCs w:val="24"/>
        </w:rPr>
      </w:pPr>
      <w:r w:rsidRPr="00133542">
        <w:rPr>
          <w:i/>
          <w:szCs w:val="24"/>
        </w:rPr>
        <w:t>Fonte: Pesquisa Nacional por Amostra de Domicílios Contínua – PNAD Contínua.</w:t>
      </w:r>
    </w:p>
    <w:p w:rsidR="00627149" w:rsidRDefault="00627149" w:rsidP="00627149">
      <w:pPr>
        <w:spacing w:line="360" w:lineRule="auto"/>
        <w:ind w:firstLine="720"/>
        <w:rPr>
          <w:sz w:val="24"/>
          <w:szCs w:val="24"/>
        </w:rPr>
      </w:pPr>
      <w:r>
        <w:rPr>
          <w:sz w:val="24"/>
          <w:szCs w:val="24"/>
        </w:rPr>
        <w:br w:type="page"/>
      </w:r>
      <w:r>
        <w:rPr>
          <w:sz w:val="24"/>
          <w:szCs w:val="24"/>
        </w:rPr>
        <w:lastRenderedPageBreak/>
        <w:t xml:space="preserve">O </w:t>
      </w:r>
      <w:r w:rsidRPr="00830476">
        <w:rPr>
          <w:sz w:val="24"/>
          <w:szCs w:val="24"/>
        </w:rPr>
        <w:t xml:space="preserve">quadro </w:t>
      </w:r>
      <w:r>
        <w:rPr>
          <w:sz w:val="24"/>
          <w:szCs w:val="24"/>
        </w:rPr>
        <w:t xml:space="preserve">a seguir </w:t>
      </w:r>
      <w:r w:rsidRPr="00830476">
        <w:rPr>
          <w:sz w:val="24"/>
          <w:szCs w:val="24"/>
        </w:rPr>
        <w:t xml:space="preserve">contém </w:t>
      </w:r>
      <w:r>
        <w:rPr>
          <w:sz w:val="24"/>
          <w:szCs w:val="24"/>
        </w:rPr>
        <w:t>os valores referentes às p</w:t>
      </w:r>
      <w:r w:rsidRPr="00AA6D11">
        <w:rPr>
          <w:sz w:val="24"/>
          <w:szCs w:val="24"/>
        </w:rPr>
        <w:t xml:space="preserve">essoas de 14 anos ou mais de idade, por tipo </w:t>
      </w:r>
      <w:r w:rsidRPr="003162DF">
        <w:rPr>
          <w:noProof/>
          <w:lang w:eastAsia="pt-BR"/>
        </w:rPr>
        <w:drawing>
          <wp:anchor distT="0" distB="0" distL="114300" distR="114300" simplePos="0" relativeHeight="251939840" behindDoc="0" locked="0" layoutInCell="1" allowOverlap="1" wp14:anchorId="200BF642" wp14:editId="05F2F5E8">
            <wp:simplePos x="0" y="0"/>
            <wp:positionH relativeFrom="column">
              <wp:posOffset>-193040</wp:posOffset>
            </wp:positionH>
            <wp:positionV relativeFrom="paragraph">
              <wp:posOffset>660400</wp:posOffset>
            </wp:positionV>
            <wp:extent cx="6653530" cy="7442835"/>
            <wp:effectExtent l="0" t="0" r="0" b="5715"/>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3530" cy="744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D11">
        <w:rPr>
          <w:sz w:val="24"/>
          <w:szCs w:val="24"/>
        </w:rPr>
        <w:t>de medida de subutilização da força de trabalho na semana de referência</w:t>
      </w:r>
      <w:r>
        <w:rPr>
          <w:sz w:val="24"/>
          <w:szCs w:val="24"/>
        </w:rPr>
        <w:t>.</w:t>
      </w:r>
    </w:p>
    <w:p w:rsidR="00627149" w:rsidRPr="00133542" w:rsidRDefault="00627149" w:rsidP="00627149">
      <w:pPr>
        <w:ind w:left="-284" w:firstLine="0"/>
        <w:rPr>
          <w:i/>
          <w:szCs w:val="24"/>
        </w:rPr>
      </w:pPr>
      <w:r w:rsidRPr="00133542">
        <w:rPr>
          <w:i/>
          <w:szCs w:val="24"/>
        </w:rPr>
        <w:t>Fonte: Pesquisa Nacional por Amostra de Domicílios Contínua – PNAD Contínua.</w:t>
      </w:r>
    </w:p>
    <w:p w:rsidR="00627149" w:rsidRDefault="00627149" w:rsidP="00627149">
      <w:pPr>
        <w:ind w:firstLine="720"/>
        <w:rPr>
          <w:sz w:val="24"/>
          <w:szCs w:val="24"/>
        </w:rPr>
      </w:pPr>
    </w:p>
    <w:p w:rsidR="00627149" w:rsidRDefault="00627149" w:rsidP="00627149">
      <w:pPr>
        <w:ind w:firstLine="720"/>
        <w:rPr>
          <w:sz w:val="24"/>
          <w:szCs w:val="24"/>
        </w:rPr>
      </w:pPr>
    </w:p>
    <w:p w:rsidR="00627149" w:rsidRDefault="00627149" w:rsidP="00627149">
      <w:pPr>
        <w:rPr>
          <w:b/>
          <w:sz w:val="24"/>
          <w:szCs w:val="24"/>
        </w:rPr>
      </w:pPr>
      <w:r>
        <w:rPr>
          <w:b/>
          <w:sz w:val="24"/>
          <w:szCs w:val="24"/>
        </w:rPr>
        <w:br w:type="page"/>
      </w:r>
    </w:p>
    <w:p w:rsidR="00627149" w:rsidRPr="0038520A" w:rsidRDefault="00627149" w:rsidP="00627149">
      <w:pPr>
        <w:pStyle w:val="PargrafodaLista"/>
        <w:numPr>
          <w:ilvl w:val="0"/>
          <w:numId w:val="25"/>
        </w:numPr>
        <w:suppressAutoHyphens w:val="0"/>
        <w:spacing w:after="200" w:line="276" w:lineRule="auto"/>
        <w:jc w:val="both"/>
        <w:rPr>
          <w:rFonts w:asciiTheme="minorHAnsi" w:eastAsiaTheme="minorHAnsi" w:hAnsiTheme="minorHAnsi" w:cstheme="minorBidi"/>
          <w:b/>
        </w:rPr>
      </w:pPr>
      <w:r w:rsidRPr="0038520A">
        <w:rPr>
          <w:rFonts w:asciiTheme="minorHAnsi" w:eastAsiaTheme="minorHAnsi" w:hAnsiTheme="minorHAnsi" w:cstheme="minorBidi"/>
          <w:b/>
        </w:rPr>
        <w:lastRenderedPageBreak/>
        <w:t>Medidas de Subutilização da Força de Trabalho por sexo</w:t>
      </w:r>
    </w:p>
    <w:p w:rsidR="00627149" w:rsidRPr="00830476" w:rsidRDefault="00627149" w:rsidP="00627149">
      <w:pPr>
        <w:spacing w:line="360" w:lineRule="auto"/>
        <w:ind w:firstLine="720"/>
        <w:rPr>
          <w:sz w:val="24"/>
          <w:szCs w:val="24"/>
        </w:rPr>
      </w:pPr>
      <w:r w:rsidRPr="00830476">
        <w:rPr>
          <w:sz w:val="24"/>
          <w:szCs w:val="24"/>
        </w:rPr>
        <w:t xml:space="preserve">Embora a subutilização da força de trabalho também afete os homens de forma </w:t>
      </w:r>
      <w:r>
        <w:rPr>
          <w:sz w:val="24"/>
          <w:szCs w:val="24"/>
        </w:rPr>
        <w:t>significativa</w:t>
      </w:r>
      <w:r w:rsidRPr="00830476">
        <w:rPr>
          <w:sz w:val="24"/>
          <w:szCs w:val="24"/>
        </w:rPr>
        <w:t xml:space="preserve">, as mulheres são maioria neste contingente, fato observado </w:t>
      </w:r>
      <w:r>
        <w:rPr>
          <w:sz w:val="24"/>
          <w:szCs w:val="24"/>
        </w:rPr>
        <w:t>para</w:t>
      </w:r>
      <w:r w:rsidRPr="00830476">
        <w:rPr>
          <w:sz w:val="24"/>
          <w:szCs w:val="24"/>
        </w:rPr>
        <w:t xml:space="preserve"> todas as medidas de subutilização calculadas </w:t>
      </w:r>
      <w:r>
        <w:rPr>
          <w:sz w:val="24"/>
          <w:szCs w:val="24"/>
        </w:rPr>
        <w:t>para</w:t>
      </w:r>
      <w:r w:rsidRPr="00830476">
        <w:rPr>
          <w:sz w:val="24"/>
          <w:szCs w:val="24"/>
        </w:rPr>
        <w:t xml:space="preserve"> praticamente todos os recortes geográficos divulgados. </w:t>
      </w:r>
    </w:p>
    <w:p w:rsidR="00627149" w:rsidRPr="00830476" w:rsidRDefault="00627149" w:rsidP="00627149">
      <w:pPr>
        <w:spacing w:line="360" w:lineRule="auto"/>
        <w:ind w:firstLine="720"/>
        <w:rPr>
          <w:sz w:val="24"/>
          <w:szCs w:val="24"/>
        </w:rPr>
      </w:pPr>
      <w:r w:rsidRPr="00830476">
        <w:rPr>
          <w:sz w:val="24"/>
          <w:szCs w:val="24"/>
        </w:rPr>
        <w:t>No Brasil, no 3º trimestre de 2016, havia 12</w:t>
      </w:r>
      <w:r>
        <w:rPr>
          <w:sz w:val="24"/>
          <w:szCs w:val="24"/>
        </w:rPr>
        <w:t>,0</w:t>
      </w:r>
      <w:r w:rsidRPr="00830476">
        <w:rPr>
          <w:sz w:val="24"/>
          <w:szCs w:val="24"/>
        </w:rPr>
        <w:t xml:space="preserve"> milhões de desocupados</w:t>
      </w:r>
      <w:r>
        <w:rPr>
          <w:sz w:val="24"/>
          <w:szCs w:val="24"/>
        </w:rPr>
        <w:t xml:space="preserve">. As </w:t>
      </w:r>
      <w:r w:rsidRPr="00830476">
        <w:rPr>
          <w:sz w:val="24"/>
          <w:szCs w:val="24"/>
        </w:rPr>
        <w:t xml:space="preserve">mulheres </w:t>
      </w:r>
      <w:r>
        <w:rPr>
          <w:sz w:val="24"/>
          <w:szCs w:val="24"/>
        </w:rPr>
        <w:t xml:space="preserve">representavam </w:t>
      </w:r>
      <w:r w:rsidRPr="00830476">
        <w:rPr>
          <w:sz w:val="24"/>
          <w:szCs w:val="24"/>
        </w:rPr>
        <w:t>cerca de 50,1%</w:t>
      </w:r>
      <w:r>
        <w:rPr>
          <w:sz w:val="24"/>
          <w:szCs w:val="24"/>
        </w:rPr>
        <w:t xml:space="preserve"> desse contingente. A</w:t>
      </w:r>
      <w:r w:rsidRPr="00830476">
        <w:rPr>
          <w:sz w:val="24"/>
          <w:szCs w:val="24"/>
        </w:rPr>
        <w:t xml:space="preserve"> taxa </w:t>
      </w:r>
      <w:r>
        <w:rPr>
          <w:sz w:val="24"/>
          <w:szCs w:val="24"/>
        </w:rPr>
        <w:t xml:space="preserve">total </w:t>
      </w:r>
      <w:r w:rsidRPr="00830476">
        <w:rPr>
          <w:sz w:val="24"/>
          <w:szCs w:val="24"/>
        </w:rPr>
        <w:t xml:space="preserve">de desocupação </w:t>
      </w:r>
      <w:r>
        <w:rPr>
          <w:sz w:val="24"/>
          <w:szCs w:val="24"/>
        </w:rPr>
        <w:t>foi estimada em</w:t>
      </w:r>
      <w:r w:rsidRPr="00830476">
        <w:rPr>
          <w:sz w:val="24"/>
          <w:szCs w:val="24"/>
        </w:rPr>
        <w:t xml:space="preserve"> 11,8%, sendo que esta estimativa chegou a 13,5% para as mulheres e </w:t>
      </w:r>
      <w:r>
        <w:rPr>
          <w:sz w:val="24"/>
          <w:szCs w:val="24"/>
        </w:rPr>
        <w:t xml:space="preserve">ficou em </w:t>
      </w:r>
      <w:r w:rsidRPr="00830476">
        <w:rPr>
          <w:sz w:val="24"/>
          <w:szCs w:val="24"/>
        </w:rPr>
        <w:t>10,5% para os homens.</w:t>
      </w:r>
    </w:p>
    <w:p w:rsidR="00627149" w:rsidRPr="00830476" w:rsidRDefault="00627149" w:rsidP="00627149">
      <w:pPr>
        <w:spacing w:line="360" w:lineRule="auto"/>
        <w:ind w:firstLine="720"/>
        <w:rPr>
          <w:sz w:val="24"/>
          <w:szCs w:val="24"/>
        </w:rPr>
      </w:pPr>
      <w:r w:rsidRPr="00830476">
        <w:rPr>
          <w:sz w:val="24"/>
          <w:szCs w:val="24"/>
        </w:rPr>
        <w:t xml:space="preserve">Aproximadamente 4,8 milhões de trabalhadores </w:t>
      </w:r>
      <w:r>
        <w:rPr>
          <w:sz w:val="24"/>
          <w:szCs w:val="24"/>
        </w:rPr>
        <w:t>no País</w:t>
      </w:r>
      <w:r w:rsidRPr="00830476">
        <w:rPr>
          <w:sz w:val="24"/>
          <w:szCs w:val="24"/>
        </w:rPr>
        <w:t xml:space="preserve"> estavam subocupados por insuficiência de horas trabalhadas, 52,2% deste contingente era</w:t>
      </w:r>
      <w:r>
        <w:rPr>
          <w:sz w:val="24"/>
          <w:szCs w:val="24"/>
        </w:rPr>
        <w:t xml:space="preserve"> formado por</w:t>
      </w:r>
      <w:r w:rsidRPr="00830476">
        <w:rPr>
          <w:sz w:val="24"/>
          <w:szCs w:val="24"/>
        </w:rPr>
        <w:t xml:space="preserve"> mulheres. </w:t>
      </w:r>
      <w:r>
        <w:rPr>
          <w:sz w:val="24"/>
          <w:szCs w:val="24"/>
        </w:rPr>
        <w:t>Estes n</w:t>
      </w:r>
      <w:r w:rsidRPr="00830476">
        <w:rPr>
          <w:sz w:val="24"/>
          <w:szCs w:val="24"/>
        </w:rPr>
        <w:t>úmeros combinados com desocupação, atinge</w:t>
      </w:r>
      <w:r>
        <w:rPr>
          <w:sz w:val="24"/>
          <w:szCs w:val="24"/>
        </w:rPr>
        <w:t>m</w:t>
      </w:r>
      <w:r w:rsidRPr="00830476">
        <w:rPr>
          <w:sz w:val="24"/>
          <w:szCs w:val="24"/>
        </w:rPr>
        <w:t xml:space="preserve"> 16,5% da força de trabalho no País. Para os homens esta taxa combinada de desocupação e de subocupação por insuficiência de horas trabalhadas foi estimada em 14,5% e para as mulheres </w:t>
      </w:r>
      <w:r>
        <w:rPr>
          <w:sz w:val="24"/>
          <w:szCs w:val="24"/>
        </w:rPr>
        <w:t>em 19,2</w:t>
      </w:r>
      <w:r w:rsidRPr="00830476">
        <w:rPr>
          <w:sz w:val="24"/>
          <w:szCs w:val="24"/>
        </w:rPr>
        <w:t>%.</w:t>
      </w:r>
    </w:p>
    <w:p w:rsidR="00627149" w:rsidRDefault="00627149" w:rsidP="00627149">
      <w:pPr>
        <w:spacing w:line="360" w:lineRule="auto"/>
        <w:ind w:firstLine="720"/>
        <w:rPr>
          <w:sz w:val="24"/>
          <w:szCs w:val="24"/>
        </w:rPr>
      </w:pPr>
      <w:r>
        <w:rPr>
          <w:sz w:val="24"/>
          <w:szCs w:val="24"/>
        </w:rPr>
        <w:t>No 3º trimestre deste ano, a</w:t>
      </w:r>
      <w:r w:rsidRPr="00830476">
        <w:rPr>
          <w:sz w:val="24"/>
          <w:szCs w:val="24"/>
        </w:rPr>
        <w:t>proximadamente 6,1 milhões de pessoas no Brasil, embora estivessem fora da força de trabalho, teriam potencial, segundo os conceitos utilizados</w:t>
      </w:r>
      <w:r>
        <w:rPr>
          <w:sz w:val="24"/>
          <w:szCs w:val="24"/>
        </w:rPr>
        <w:t xml:space="preserve"> pela pesquisa</w:t>
      </w:r>
      <w:r w:rsidRPr="00830476">
        <w:rPr>
          <w:sz w:val="24"/>
          <w:szCs w:val="24"/>
        </w:rPr>
        <w:t xml:space="preserve">, </w:t>
      </w:r>
      <w:r>
        <w:rPr>
          <w:sz w:val="24"/>
          <w:szCs w:val="24"/>
        </w:rPr>
        <w:t>de</w:t>
      </w:r>
      <w:r w:rsidRPr="00830476">
        <w:rPr>
          <w:sz w:val="24"/>
          <w:szCs w:val="24"/>
        </w:rPr>
        <w:t xml:space="preserve"> </w:t>
      </w:r>
      <w:r>
        <w:rPr>
          <w:sz w:val="24"/>
          <w:szCs w:val="24"/>
        </w:rPr>
        <w:t>estarem</w:t>
      </w:r>
      <w:r w:rsidRPr="00830476">
        <w:rPr>
          <w:sz w:val="24"/>
          <w:szCs w:val="24"/>
        </w:rPr>
        <w:t xml:space="preserve"> integrados </w:t>
      </w:r>
      <w:r>
        <w:rPr>
          <w:sz w:val="24"/>
          <w:szCs w:val="24"/>
        </w:rPr>
        <w:t xml:space="preserve">à </w:t>
      </w:r>
      <w:r w:rsidRPr="00830476">
        <w:rPr>
          <w:sz w:val="24"/>
          <w:szCs w:val="24"/>
        </w:rPr>
        <w:t xml:space="preserve">força de trabalho brasileira. Cerca de 3,7 milhões ou 60,1% deste contingente era formado por mulheres, percentual superior ao dos homens (39,9%). </w:t>
      </w:r>
      <w:r>
        <w:rPr>
          <w:sz w:val="24"/>
          <w:szCs w:val="24"/>
        </w:rPr>
        <w:t>Estes n</w:t>
      </w:r>
      <w:r w:rsidRPr="00830476">
        <w:rPr>
          <w:sz w:val="24"/>
          <w:szCs w:val="24"/>
        </w:rPr>
        <w:t>úmeros</w:t>
      </w:r>
      <w:r>
        <w:rPr>
          <w:sz w:val="24"/>
          <w:szCs w:val="24"/>
        </w:rPr>
        <w:t xml:space="preserve">, por si só, já </w:t>
      </w:r>
      <w:r w:rsidRPr="00830476">
        <w:rPr>
          <w:sz w:val="24"/>
          <w:szCs w:val="24"/>
        </w:rPr>
        <w:t xml:space="preserve">justificam a importância dos indicadores referentes às medidas de subutilização da força de trabalho nos estudos de gênero. </w:t>
      </w:r>
      <w:r>
        <w:rPr>
          <w:sz w:val="24"/>
          <w:szCs w:val="24"/>
        </w:rPr>
        <w:t>Esta</w:t>
      </w:r>
      <w:r w:rsidRPr="00830476">
        <w:rPr>
          <w:sz w:val="24"/>
          <w:szCs w:val="24"/>
        </w:rPr>
        <w:t xml:space="preserve"> estimativa associada</w:t>
      </w:r>
      <w:r>
        <w:rPr>
          <w:sz w:val="24"/>
          <w:szCs w:val="24"/>
        </w:rPr>
        <w:t xml:space="preserve"> à desocupação traz</w:t>
      </w:r>
      <w:r w:rsidRPr="00830476">
        <w:rPr>
          <w:sz w:val="24"/>
          <w:szCs w:val="24"/>
        </w:rPr>
        <w:t xml:space="preserve"> uma taxa combinada de desocupação e força de trabalho potencial </w:t>
      </w:r>
      <w:r>
        <w:rPr>
          <w:sz w:val="24"/>
          <w:szCs w:val="24"/>
        </w:rPr>
        <w:t>total de</w:t>
      </w:r>
      <w:r w:rsidRPr="00830476">
        <w:rPr>
          <w:sz w:val="24"/>
          <w:szCs w:val="24"/>
        </w:rPr>
        <w:t xml:space="preserve"> 16,8% da força de trabalho ampliada do País no 3º trimestre de 2016</w:t>
      </w:r>
      <w:r>
        <w:rPr>
          <w:sz w:val="24"/>
          <w:szCs w:val="24"/>
        </w:rPr>
        <w:t xml:space="preserve"> - </w:t>
      </w:r>
      <w:r w:rsidRPr="00C72B1A">
        <w:rPr>
          <w:sz w:val="18"/>
          <w:szCs w:val="18"/>
        </w:rPr>
        <w:t xml:space="preserve">[Força de trabalho ampliada </w:t>
      </w:r>
      <w:r w:rsidRPr="00C72B1A">
        <w:rPr>
          <w:i/>
          <w:sz w:val="18"/>
          <w:szCs w:val="18"/>
        </w:rPr>
        <w:t>(108 milhões de pessoas)</w:t>
      </w:r>
      <w:r w:rsidRPr="00C72B1A">
        <w:rPr>
          <w:sz w:val="18"/>
          <w:szCs w:val="18"/>
        </w:rPr>
        <w:t xml:space="preserve"> - </w:t>
      </w:r>
      <w:r w:rsidRPr="00C72B1A">
        <w:rPr>
          <w:i/>
          <w:sz w:val="18"/>
          <w:szCs w:val="18"/>
        </w:rPr>
        <w:t>É a soma dos contingentes da força de trabalho (ocupados mais desocupados) com o contingente daqueles classificados como força de trabalho potencial]</w:t>
      </w:r>
      <w:r w:rsidRPr="00C72B1A">
        <w:rPr>
          <w:sz w:val="18"/>
          <w:szCs w:val="18"/>
        </w:rPr>
        <w:t>.</w:t>
      </w:r>
      <w:r w:rsidRPr="00830476">
        <w:rPr>
          <w:sz w:val="24"/>
          <w:szCs w:val="24"/>
        </w:rPr>
        <w:t xml:space="preserve">  Para os homens</w:t>
      </w:r>
      <w:r>
        <w:rPr>
          <w:sz w:val="24"/>
          <w:szCs w:val="24"/>
        </w:rPr>
        <w:t>,</w:t>
      </w:r>
      <w:r w:rsidRPr="00830476">
        <w:rPr>
          <w:sz w:val="24"/>
          <w:szCs w:val="24"/>
        </w:rPr>
        <w:t xml:space="preserve"> esta taxa </w:t>
      </w:r>
      <w:r>
        <w:rPr>
          <w:sz w:val="24"/>
          <w:szCs w:val="24"/>
        </w:rPr>
        <w:t xml:space="preserve">foi estimada em </w:t>
      </w:r>
      <w:r w:rsidRPr="00830476">
        <w:rPr>
          <w:sz w:val="24"/>
          <w:szCs w:val="24"/>
        </w:rPr>
        <w:t xml:space="preserve">14,1%, </w:t>
      </w:r>
      <w:r>
        <w:rPr>
          <w:sz w:val="24"/>
          <w:szCs w:val="24"/>
        </w:rPr>
        <w:t>e atinge praticamente 1/5 da força de trabalho ampliada formada por mulheres.</w:t>
      </w:r>
      <w:r w:rsidRPr="00830476">
        <w:rPr>
          <w:sz w:val="24"/>
          <w:szCs w:val="24"/>
        </w:rPr>
        <w:t xml:space="preserve"> </w:t>
      </w:r>
    </w:p>
    <w:p w:rsidR="00627149" w:rsidRDefault="00627149" w:rsidP="00627149">
      <w:pPr>
        <w:spacing w:line="360" w:lineRule="auto"/>
        <w:ind w:firstLine="720"/>
        <w:rPr>
          <w:sz w:val="24"/>
          <w:szCs w:val="24"/>
        </w:rPr>
      </w:pPr>
      <w:r>
        <w:rPr>
          <w:sz w:val="24"/>
          <w:szCs w:val="24"/>
        </w:rPr>
        <w:t>Quando agregamos todas as medidas de subutilização da força de trabalho chegamos a uma estimativa composta da subutilização da força de trabalho. No Brasil, o total da força de trabalho subutilizada chegou a 22,9 milhões de pessoas no 3º trimestre de 2016. (Não confundir subutilização da força de trabalho com desocupação. Os desocupados são uma parcela da força de trabalho subutilizada). As mulheres representavam 53,2% da força de trabalho subutilizada total no País.</w:t>
      </w:r>
      <w:r w:rsidRPr="00A23A00">
        <w:rPr>
          <w:sz w:val="24"/>
          <w:szCs w:val="24"/>
        </w:rPr>
        <w:t xml:space="preserve"> </w:t>
      </w:r>
      <w:r>
        <w:rPr>
          <w:sz w:val="24"/>
          <w:szCs w:val="24"/>
        </w:rPr>
        <w:t>A taxa composta da subutilização da força de trabalho no país, ou seja, aquela que agrega os desocupados, os subocupados por insuficiência de horas trabalhadas e os que fazem parte da força de trabalho potencial, representavam 21,2% da força de trabalho ampliada do País. Para os homens, esta taxa foi estimada em 17,9% e para as mulheres em 25,3%.</w:t>
      </w:r>
    </w:p>
    <w:p w:rsidR="00627149" w:rsidRPr="00830476" w:rsidRDefault="00627149" w:rsidP="00627149">
      <w:pPr>
        <w:spacing w:line="360" w:lineRule="auto"/>
        <w:ind w:firstLine="720"/>
        <w:rPr>
          <w:sz w:val="24"/>
          <w:szCs w:val="24"/>
        </w:rPr>
      </w:pPr>
      <w:r w:rsidRPr="00CC252A">
        <w:rPr>
          <w:noProof/>
          <w:lang w:eastAsia="pt-BR"/>
        </w:rPr>
        <w:lastRenderedPageBreak/>
        <w:drawing>
          <wp:anchor distT="0" distB="0" distL="114300" distR="114300" simplePos="0" relativeHeight="251936768" behindDoc="0" locked="0" layoutInCell="1" allowOverlap="1" wp14:anchorId="54D07409" wp14:editId="5C00644B">
            <wp:simplePos x="0" y="0"/>
            <wp:positionH relativeFrom="margin">
              <wp:align>left</wp:align>
            </wp:positionH>
            <wp:positionV relativeFrom="paragraph">
              <wp:posOffset>669925</wp:posOffset>
            </wp:positionV>
            <wp:extent cx="6724650" cy="7188200"/>
            <wp:effectExtent l="0" t="0" r="0" b="0"/>
            <wp:wrapTopAndBottom/>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24650" cy="718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476">
        <w:rPr>
          <w:sz w:val="24"/>
          <w:szCs w:val="24"/>
        </w:rPr>
        <w:t xml:space="preserve">O quadro </w:t>
      </w:r>
      <w:r>
        <w:rPr>
          <w:sz w:val="24"/>
          <w:szCs w:val="24"/>
        </w:rPr>
        <w:t xml:space="preserve">a seguir </w:t>
      </w:r>
      <w:r w:rsidRPr="00830476">
        <w:rPr>
          <w:sz w:val="24"/>
          <w:szCs w:val="24"/>
        </w:rPr>
        <w:t>contém as estimativas das quatro taxas de subutilização da força de trabalho calculadas para o</w:t>
      </w:r>
      <w:r>
        <w:rPr>
          <w:sz w:val="24"/>
          <w:szCs w:val="24"/>
        </w:rPr>
        <w:t>s</w:t>
      </w:r>
      <w:r w:rsidRPr="00830476">
        <w:rPr>
          <w:sz w:val="24"/>
          <w:szCs w:val="24"/>
        </w:rPr>
        <w:t xml:space="preserve"> nos 27 estados</w:t>
      </w:r>
      <w:r>
        <w:rPr>
          <w:sz w:val="24"/>
          <w:szCs w:val="24"/>
        </w:rPr>
        <w:t xml:space="preserve"> e desagregadas por sexo</w:t>
      </w:r>
      <w:r w:rsidRPr="00830476">
        <w:rPr>
          <w:sz w:val="24"/>
          <w:szCs w:val="24"/>
        </w:rPr>
        <w:t xml:space="preserve">. </w:t>
      </w:r>
    </w:p>
    <w:p w:rsidR="00627149" w:rsidRPr="00133542" w:rsidRDefault="00627149" w:rsidP="00627149">
      <w:pPr>
        <w:ind w:left="-709"/>
        <w:rPr>
          <w:i/>
          <w:szCs w:val="24"/>
        </w:rPr>
      </w:pPr>
      <w:r w:rsidRPr="00133542">
        <w:rPr>
          <w:i/>
          <w:szCs w:val="24"/>
        </w:rPr>
        <w:t>Fonte: Pesquisa Nacional por Amostra de Domicílios Contínua – PNAD Contínua.</w:t>
      </w:r>
    </w:p>
    <w:p w:rsidR="00627149" w:rsidRDefault="00627149" w:rsidP="00627149">
      <w:pPr>
        <w:ind w:firstLine="720"/>
        <w:rPr>
          <w:sz w:val="24"/>
          <w:szCs w:val="24"/>
        </w:rPr>
      </w:pPr>
    </w:p>
    <w:p w:rsidR="00627149" w:rsidRPr="00692AC2" w:rsidRDefault="00627149" w:rsidP="00627149">
      <w:pPr>
        <w:pStyle w:val="PargrafodaLista"/>
        <w:numPr>
          <w:ilvl w:val="0"/>
          <w:numId w:val="25"/>
        </w:numPr>
        <w:suppressAutoHyphens w:val="0"/>
        <w:spacing w:after="200" w:line="276" w:lineRule="auto"/>
        <w:jc w:val="both"/>
        <w:rPr>
          <w:b/>
        </w:rPr>
      </w:pPr>
      <w:r>
        <w:rPr>
          <w:b/>
        </w:rPr>
        <w:br w:type="page"/>
      </w:r>
      <w:r w:rsidRPr="0038520A">
        <w:rPr>
          <w:rFonts w:asciiTheme="minorHAnsi" w:eastAsiaTheme="minorHAnsi" w:hAnsiTheme="minorHAnsi" w:cstheme="minorBidi"/>
          <w:b/>
        </w:rPr>
        <w:lastRenderedPageBreak/>
        <w:t>Medidas de Subutilização da Força de Trabalho por grupos etários</w:t>
      </w:r>
    </w:p>
    <w:p w:rsidR="00627149" w:rsidRPr="00176E02" w:rsidRDefault="00627149" w:rsidP="00627149">
      <w:pPr>
        <w:spacing w:line="360" w:lineRule="auto"/>
        <w:ind w:firstLine="720"/>
        <w:rPr>
          <w:sz w:val="24"/>
          <w:szCs w:val="24"/>
        </w:rPr>
      </w:pPr>
      <w:r w:rsidRPr="00176E02">
        <w:rPr>
          <w:sz w:val="24"/>
          <w:szCs w:val="24"/>
        </w:rPr>
        <w:t>A subutilização da força de trabalho atinge, principalmente, a população jovem do País</w:t>
      </w:r>
      <w:r>
        <w:rPr>
          <w:sz w:val="24"/>
          <w:szCs w:val="24"/>
        </w:rPr>
        <w:t xml:space="preserve">. </w:t>
      </w:r>
      <w:r w:rsidRPr="00176E02">
        <w:rPr>
          <w:sz w:val="24"/>
          <w:szCs w:val="24"/>
        </w:rPr>
        <w:t>No 3º trimestre de 2016, havia 12 milhões de desocupados, sendo que cerca de 32,6% deles tinham de 18 a 24 anos de idade e 35,2% tinham de 25 a 29 anos. A taxa de desocupação do grupo etário de 1</w:t>
      </w:r>
      <w:r>
        <w:rPr>
          <w:sz w:val="24"/>
          <w:szCs w:val="24"/>
        </w:rPr>
        <w:t>8</w:t>
      </w:r>
      <w:r w:rsidRPr="00176E02">
        <w:rPr>
          <w:sz w:val="24"/>
          <w:szCs w:val="24"/>
        </w:rPr>
        <w:t xml:space="preserve"> a 24 anos de idade foi estimada em 25,7%, e do grupo de 25 a 29 anos em 10,9%. Sendo que a população de 14 a 17 anos de idade, que representava 8,6% dos desocupados, apresentou uma taxa de desocupação de 39,7%.</w:t>
      </w:r>
    </w:p>
    <w:p w:rsidR="00627149" w:rsidRPr="00176E02" w:rsidRDefault="00627149" w:rsidP="00627149">
      <w:pPr>
        <w:spacing w:line="360" w:lineRule="auto"/>
        <w:ind w:firstLine="720"/>
        <w:rPr>
          <w:sz w:val="24"/>
          <w:szCs w:val="24"/>
        </w:rPr>
      </w:pPr>
      <w:r w:rsidRPr="00176E02">
        <w:rPr>
          <w:sz w:val="24"/>
          <w:szCs w:val="24"/>
        </w:rPr>
        <w:t xml:space="preserve">Aproximadamente 4,8 milhões de trabalhadores no Brasil estavam subocupados por insuficiência de horas trabalhadas, 18,2% </w:t>
      </w:r>
      <w:r>
        <w:rPr>
          <w:sz w:val="24"/>
          <w:szCs w:val="24"/>
        </w:rPr>
        <w:t>eram do</w:t>
      </w:r>
      <w:r w:rsidRPr="00176E02">
        <w:rPr>
          <w:sz w:val="24"/>
          <w:szCs w:val="24"/>
        </w:rPr>
        <w:t xml:space="preserve"> grupo etário de 18 a 24 anos, 39,9% tinham de 25 a 39 anos de idade, e 34,9% de 40 a 59 anos. Para os jovens de 18 a 24 anos de idade</w:t>
      </w:r>
      <w:r>
        <w:rPr>
          <w:sz w:val="24"/>
          <w:szCs w:val="24"/>
        </w:rPr>
        <w:t>,</w:t>
      </w:r>
      <w:r w:rsidRPr="00176E02">
        <w:rPr>
          <w:sz w:val="24"/>
          <w:szCs w:val="24"/>
        </w:rPr>
        <w:t xml:space="preserve"> a taxa combinada de desocupação e de subocupação por insuficiência de horas trabalhadas foi estimada em 31,1%, enquanto que para o grupo de 25 a 39 e 40 a 59 anos as taxas foram 15,8% e 11,1%, respectivamente. Sendo que a população de 14 a 17 anos de idade, que representava 3,8% desta combinação, apresentou uma taxa combinada de 45,5%</w:t>
      </w:r>
      <w:r>
        <w:rPr>
          <w:sz w:val="24"/>
          <w:szCs w:val="24"/>
        </w:rPr>
        <w:t xml:space="preserve"> da força de trabalho ampliada deste grupo</w:t>
      </w:r>
      <w:r w:rsidRPr="00176E02">
        <w:rPr>
          <w:sz w:val="24"/>
          <w:szCs w:val="24"/>
        </w:rPr>
        <w:t>.</w:t>
      </w:r>
    </w:p>
    <w:p w:rsidR="00627149" w:rsidRPr="00C72B1A" w:rsidRDefault="00627149" w:rsidP="00627149">
      <w:pPr>
        <w:spacing w:line="360" w:lineRule="auto"/>
        <w:ind w:firstLine="720"/>
        <w:rPr>
          <w:color w:val="auto"/>
          <w:sz w:val="24"/>
          <w:szCs w:val="24"/>
        </w:rPr>
      </w:pPr>
      <w:r w:rsidRPr="00C72B1A">
        <w:rPr>
          <w:color w:val="auto"/>
          <w:sz w:val="24"/>
          <w:szCs w:val="24"/>
        </w:rPr>
        <w:t>Cerca de 3,7 milhões ou 23,8% da força de trabalho potencial era formado, em sua maioria, por jovens de 18 a 24 anos de idade (23,8%) e por aqueles do grupo etário de 25 a 39 anos representavam 27,9% e do grupo 40 a 59 anos, 23,6%. A combinação com a desocupação aponta para uma taxa combinada de desocupação e força de trabalho potencial de 32,1% para os jovens de 18 a 24 anos de idade e de 14,6% para</w:t>
      </w:r>
      <w:r>
        <w:rPr>
          <w:sz w:val="24"/>
          <w:szCs w:val="24"/>
        </w:rPr>
        <w:t xml:space="preserve"> os do grupo de 25 a 39 anos. </w:t>
      </w:r>
      <w:r w:rsidRPr="00C72B1A">
        <w:rPr>
          <w:color w:val="auto"/>
          <w:sz w:val="24"/>
          <w:szCs w:val="24"/>
        </w:rPr>
        <w:t xml:space="preserve">Sendo que a população de 14 a 17 anos de idade, que representava 11,7% desta combinação, apresentou uma taxa combinada </w:t>
      </w:r>
      <w:r>
        <w:rPr>
          <w:sz w:val="24"/>
          <w:szCs w:val="24"/>
        </w:rPr>
        <w:t xml:space="preserve">de </w:t>
      </w:r>
      <w:r w:rsidRPr="00C72B1A">
        <w:rPr>
          <w:color w:val="auto"/>
          <w:sz w:val="24"/>
          <w:szCs w:val="24"/>
        </w:rPr>
        <w:t>desocupação e força de trabalho potencial de 57,4%%.</w:t>
      </w:r>
    </w:p>
    <w:p w:rsidR="00627149" w:rsidRPr="00C72B1A" w:rsidRDefault="00627149" w:rsidP="00627149">
      <w:pPr>
        <w:spacing w:line="360" w:lineRule="auto"/>
        <w:ind w:firstLine="720"/>
        <w:rPr>
          <w:color w:val="auto"/>
          <w:sz w:val="24"/>
          <w:szCs w:val="24"/>
        </w:rPr>
      </w:pPr>
      <w:r w:rsidRPr="00C72B1A">
        <w:rPr>
          <w:color w:val="auto"/>
          <w:sz w:val="24"/>
          <w:szCs w:val="24"/>
        </w:rPr>
        <w:t xml:space="preserve">Quando agregamos todas as medidas de subutilização chegamos a uma estimativa composta da subutilização da força de trabalho. Os grupos etários de 18 a 24, 25 a 39 e 40 a 59 anos de idade, que representavam, respectivamente 27,0%, 34,2% e 24,9%, eram maioria </w:t>
      </w:r>
      <w:r>
        <w:rPr>
          <w:sz w:val="24"/>
          <w:szCs w:val="24"/>
        </w:rPr>
        <w:t>n</w:t>
      </w:r>
      <w:r w:rsidRPr="00C72B1A">
        <w:rPr>
          <w:color w:val="auto"/>
          <w:sz w:val="24"/>
          <w:szCs w:val="24"/>
        </w:rPr>
        <w:t>este contingente. Nesta ordem, as taxas compostas de subutilização da força de trabalho para estes grupos etários eram: 37,1</w:t>
      </w:r>
      <w:r>
        <w:rPr>
          <w:sz w:val="24"/>
          <w:szCs w:val="24"/>
        </w:rPr>
        <w:t>%</w:t>
      </w:r>
      <w:r w:rsidRPr="00C72B1A">
        <w:rPr>
          <w:color w:val="auto"/>
          <w:sz w:val="24"/>
          <w:szCs w:val="24"/>
        </w:rPr>
        <w:t xml:space="preserve">, 19,3% e 14,3%. Sendo que a população de 14 a 17 anos de idade, que representava 10,1% desta combinação, apresentou uma taxa composta de subutilização da força de trabalho de 62,3%. </w:t>
      </w:r>
    </w:p>
    <w:p w:rsidR="00627149" w:rsidRDefault="00627149" w:rsidP="00627149">
      <w:pPr>
        <w:rPr>
          <w:sz w:val="24"/>
          <w:szCs w:val="24"/>
        </w:rPr>
      </w:pPr>
      <w:r>
        <w:rPr>
          <w:sz w:val="24"/>
          <w:szCs w:val="24"/>
        </w:rPr>
        <w:br w:type="page"/>
      </w:r>
    </w:p>
    <w:p w:rsidR="00627149" w:rsidRPr="00C72B1A" w:rsidRDefault="00627149" w:rsidP="00512F9B">
      <w:pPr>
        <w:ind w:firstLine="720"/>
        <w:rPr>
          <w:color w:val="auto"/>
          <w:sz w:val="24"/>
          <w:szCs w:val="24"/>
        </w:rPr>
      </w:pPr>
      <w:r w:rsidRPr="00C72B1A">
        <w:rPr>
          <w:noProof/>
          <w:lang w:eastAsia="pt-BR"/>
        </w:rPr>
        <w:lastRenderedPageBreak/>
        <w:drawing>
          <wp:anchor distT="0" distB="0" distL="114300" distR="114300" simplePos="0" relativeHeight="251938816" behindDoc="0" locked="0" layoutInCell="1" allowOverlap="1" wp14:anchorId="16148816" wp14:editId="2CB56A9E">
            <wp:simplePos x="0" y="0"/>
            <wp:positionH relativeFrom="margin">
              <wp:align>right</wp:align>
            </wp:positionH>
            <wp:positionV relativeFrom="paragraph">
              <wp:posOffset>582146</wp:posOffset>
            </wp:positionV>
            <wp:extent cx="6741160" cy="8158480"/>
            <wp:effectExtent l="0" t="0" r="254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41160" cy="815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B1A">
        <w:rPr>
          <w:color w:val="auto"/>
          <w:sz w:val="24"/>
          <w:szCs w:val="24"/>
        </w:rPr>
        <w:t>O quadro a seguir contém as estimativas das quatro taxas de subutilização da força de trabalho calculadas para o 3º trimestre de 2016, nos 27 estados por grupos etários.</w:t>
      </w:r>
    </w:p>
    <w:p w:rsidR="00512F9B" w:rsidRDefault="00512F9B" w:rsidP="00627149">
      <w:pPr>
        <w:ind w:left="-426" w:firstLine="0"/>
        <w:rPr>
          <w:i/>
          <w:szCs w:val="24"/>
        </w:rPr>
      </w:pPr>
    </w:p>
    <w:p w:rsidR="00627149" w:rsidRPr="003D3FCD" w:rsidRDefault="00627149" w:rsidP="00627149">
      <w:pPr>
        <w:ind w:left="-426" w:firstLine="0"/>
        <w:rPr>
          <w:i/>
          <w:sz w:val="20"/>
          <w:szCs w:val="20"/>
        </w:rPr>
      </w:pPr>
      <w:r w:rsidRPr="003D3FCD">
        <w:rPr>
          <w:i/>
          <w:sz w:val="20"/>
          <w:szCs w:val="20"/>
        </w:rPr>
        <w:t>Fonte: Pesquisa Nacional por Amostra de Domicílios Contínua – PNAD Contínua.</w:t>
      </w:r>
    </w:p>
    <w:p w:rsidR="00D673CF" w:rsidRPr="00EF3484" w:rsidRDefault="00627149" w:rsidP="003D3FCD">
      <w:pPr>
        <w:spacing w:after="480"/>
        <w:jc w:val="center"/>
        <w:rPr>
          <w:sz w:val="24"/>
          <w:szCs w:val="24"/>
        </w:rPr>
      </w:pPr>
      <w:bookmarkStart w:id="1" w:name="_GoBack"/>
      <w:r w:rsidRPr="00EF3484">
        <w:rPr>
          <w:sz w:val="24"/>
          <w:szCs w:val="24"/>
        </w:rPr>
        <w:t>Rio de Janeiro, 22 de novembro de 2016.</w:t>
      </w:r>
      <w:bookmarkEnd w:id="1"/>
    </w:p>
    <w:sectPr w:rsidR="00D673CF" w:rsidRPr="00EF3484" w:rsidSect="00247A28">
      <w:headerReference w:type="default" r:id="rId22"/>
      <w:footerReference w:type="default" r:id="rId23"/>
      <w:pgSz w:w="11906" w:h="16838"/>
      <w:pgMar w:top="1418" w:right="707" w:bottom="993" w:left="993" w:header="709"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300" w:rsidRDefault="00A53300">
      <w:r>
        <w:separator/>
      </w:r>
    </w:p>
  </w:endnote>
  <w:endnote w:type="continuationSeparator" w:id="0">
    <w:p w:rsidR="00A53300" w:rsidRDefault="00A5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Univers">
    <w:panose1 w:val="020B0603020202030204"/>
    <w:charset w:val="00"/>
    <w:family w:val="swiss"/>
    <w:pitch w:val="variable"/>
    <w:sig w:usb0="00000007" w:usb1="00000000" w:usb2="00000000" w:usb3="00000000" w:csb0="00000013" w:csb1="00000000"/>
  </w:font>
  <w:font w:name="Aero">
    <w:altName w:val="Times New Roman"/>
    <w:panose1 w:val="00000000000000000000"/>
    <w:charset w:val="00"/>
    <w:family w:val="auto"/>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B3C" w:rsidRDefault="00347B3C">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rsidR="00347B3C" w:rsidRDefault="00347B3C">
    <w:pPr>
      <w:pStyle w:val="Rodap"/>
      <w:ind w:right="360"/>
    </w:pPr>
  </w:p>
  <w:p w:rsidR="00347B3C" w:rsidRDefault="00347B3C"/>
  <w:p w:rsidR="00347B3C" w:rsidRDefault="00347B3C"/>
  <w:p w:rsidR="00347B3C" w:rsidRDefault="00347B3C"/>
  <w:p w:rsidR="00347B3C" w:rsidRDefault="00347B3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B3C" w:rsidRDefault="00347B3C">
    <w:pPr>
      <w:pStyle w:val="Rodap"/>
      <w:jc w:val="center"/>
    </w:pPr>
  </w:p>
  <w:p w:rsidR="00347B3C" w:rsidRDefault="00347B3C"/>
  <w:p w:rsidR="00347B3C" w:rsidRDefault="00347B3C"/>
  <w:p w:rsidR="00347B3C" w:rsidRDefault="00347B3C"/>
  <w:p w:rsidR="00347B3C" w:rsidRDefault="00347B3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B3C" w:rsidRDefault="00347B3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5ED" w:rsidRPr="0051259F" w:rsidRDefault="007675ED" w:rsidP="0051259F">
    <w:pPr>
      <w:pStyle w:val="Rodap"/>
      <w:jc w:val="center"/>
      <w:rPr>
        <w:b/>
      </w:rPr>
    </w:pPr>
    <w:r w:rsidRPr="0051259F">
      <w:rPr>
        <w:b/>
      </w:rPr>
      <w:t>IBGE – Diretoria de Pesquisas – Coordenação de Trabalho e Rendimento</w:t>
    </w:r>
  </w:p>
  <w:p w:rsidR="007675ED" w:rsidRDefault="007675E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300" w:rsidRDefault="00A53300"/>
  </w:footnote>
  <w:footnote w:type="continuationSeparator" w:id="0">
    <w:p w:rsidR="00A53300" w:rsidRDefault="00A53300">
      <w:r>
        <w:continuationSeparator/>
      </w:r>
    </w:p>
  </w:footnote>
  <w:footnote w:id="1">
    <w:p w:rsidR="00627149" w:rsidRPr="00F65206" w:rsidRDefault="00627149" w:rsidP="00F65206">
      <w:pPr>
        <w:pStyle w:val="Textodenotaderodap"/>
        <w:rPr>
          <w:sz w:val="18"/>
          <w:szCs w:val="18"/>
        </w:rPr>
      </w:pPr>
      <w:r w:rsidRPr="00F65206">
        <w:rPr>
          <w:sz w:val="18"/>
          <w:szCs w:val="18"/>
        </w:rPr>
        <w:footnoteRef/>
      </w:r>
      <w:r w:rsidRPr="00F65206">
        <w:rPr>
          <w:sz w:val="18"/>
          <w:szCs w:val="18"/>
        </w:rPr>
        <w:t xml:space="preserve">  http://www.ilo.org/wcmsp5/groups/public/---dgreports/---</w:t>
      </w:r>
      <w:r w:rsidR="006A4DCB" w:rsidRPr="00F65206">
        <w:rPr>
          <w:sz w:val="18"/>
          <w:szCs w:val="18"/>
        </w:rPr>
        <w:t>s</w:t>
      </w:r>
      <w:r w:rsidRPr="00F65206">
        <w:rPr>
          <w:sz w:val="18"/>
          <w:szCs w:val="18"/>
        </w:rPr>
        <w:t>tat/documents/normativeinstrument/wcms_234036.pdf</w:t>
      </w:r>
    </w:p>
  </w:footnote>
  <w:footnote w:id="2">
    <w:p w:rsidR="00627149" w:rsidRDefault="00627149" w:rsidP="00F65206">
      <w:pPr>
        <w:pStyle w:val="Notaderodap"/>
      </w:pPr>
      <w:r w:rsidRPr="00F65206">
        <w:rPr>
          <w:sz w:val="18"/>
          <w:szCs w:val="18"/>
        </w:rPr>
        <w:footnoteRef/>
      </w:r>
      <w:r w:rsidRPr="00F65206">
        <w:rPr>
          <w:sz w:val="18"/>
          <w:szCs w:val="18"/>
        </w:rPr>
        <w:t xml:space="preserve"> A Força de trabalho é composta pelas pessoas ocupadas e as desocupadas na semana de referência.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5ED" w:rsidRPr="00247A28" w:rsidRDefault="007675ED" w:rsidP="00247A28">
    <w:pPr>
      <w:jc w:val="right"/>
      <w:rPr>
        <w:rFonts w:ascii="Calibri" w:eastAsia="Calibri" w:hAnsi="Calibri" w:cs="Times New Roman"/>
        <w:b/>
        <w:sz w:val="20"/>
      </w:rPr>
    </w:pPr>
    <w:r w:rsidRPr="00247A28">
      <w:rPr>
        <w:rFonts w:ascii="Calibri" w:eastAsia="Calibri" w:hAnsi="Calibri" w:cs="Times New Roman"/>
        <w:b/>
        <w:sz w:val="20"/>
      </w:rPr>
      <w:t>Pesquisa Nacional por Amostra de Domicílios Contínua – PNAD Contínua</w:t>
    </w:r>
  </w:p>
  <w:p w:rsidR="007675ED" w:rsidRDefault="007675ED">
    <w:pPr>
      <w:pStyle w:val="Cabealho"/>
    </w:pPr>
    <w:r>
      <w:rPr>
        <w:noProof/>
        <w:lang w:eastAsia="pt-BR"/>
      </w:rPr>
      <w:drawing>
        <wp:anchor distT="0" distB="0" distL="114300" distR="114300" simplePos="0" relativeHeight="7" behindDoc="1" locked="0" layoutInCell="1" allowOverlap="1" wp14:anchorId="341F816E" wp14:editId="37B52191">
          <wp:simplePos x="0" y="0"/>
          <wp:positionH relativeFrom="column">
            <wp:posOffset>131445</wp:posOffset>
          </wp:positionH>
          <wp:positionV relativeFrom="paragraph">
            <wp:posOffset>-168910</wp:posOffset>
          </wp:positionV>
          <wp:extent cx="1336040" cy="380365"/>
          <wp:effectExtent l="0" t="0" r="0" b="0"/>
          <wp:wrapNone/>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
                  <a:stretch>
                    <a:fillRect/>
                  </a:stretch>
                </pic:blipFill>
                <pic:spPr bwMode="auto">
                  <a:xfrm>
                    <a:off x="0" y="0"/>
                    <a:ext cx="1336040" cy="3803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F3672"/>
    <w:multiLevelType w:val="hybridMultilevel"/>
    <w:tmpl w:val="FB101844"/>
    <w:lvl w:ilvl="0" w:tplc="B824EDDE">
      <w:start w:val="1"/>
      <w:numFmt w:val="lowerLetter"/>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
    <w:nsid w:val="0E68596C"/>
    <w:multiLevelType w:val="hybridMultilevel"/>
    <w:tmpl w:val="1E3C43FC"/>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7">
      <w:start w:val="1"/>
      <w:numFmt w:val="lowerLetter"/>
      <w:lvlText w:val="%6)"/>
      <w:lvlJc w:val="lef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nsid w:val="0ECE2E0C"/>
    <w:multiLevelType w:val="hybridMultilevel"/>
    <w:tmpl w:val="77AECDDE"/>
    <w:lvl w:ilvl="0" w:tplc="0409001B">
      <w:start w:val="1"/>
      <w:numFmt w:val="lowerRoman"/>
      <w:lvlText w:val="%1."/>
      <w:lvlJc w:val="right"/>
      <w:pPr>
        <w:ind w:left="3218" w:hanging="180"/>
      </w:p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
    <w:nsid w:val="16817CF2"/>
    <w:multiLevelType w:val="hybridMultilevel"/>
    <w:tmpl w:val="477A90A6"/>
    <w:lvl w:ilvl="0" w:tplc="9B5829CE">
      <w:start w:val="1"/>
      <w:numFmt w:val="decimal"/>
      <w:lvlText w:val="%1)"/>
      <w:lvlJc w:val="left"/>
      <w:pPr>
        <w:ind w:left="177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AB526E"/>
    <w:multiLevelType w:val="hybridMultilevel"/>
    <w:tmpl w:val="1EF8911A"/>
    <w:lvl w:ilvl="0" w:tplc="A488716A">
      <w:start w:val="1"/>
      <w:numFmt w:val="decimal"/>
      <w:lvlText w:val="%1)"/>
      <w:lvlJc w:val="left"/>
      <w:pPr>
        <w:ind w:left="1778" w:hanging="360"/>
      </w:pPr>
      <w:rPr>
        <w:rFonts w:hint="default"/>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25FE4752"/>
    <w:multiLevelType w:val="hybridMultilevel"/>
    <w:tmpl w:val="C8D4007A"/>
    <w:lvl w:ilvl="0" w:tplc="040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2722085F"/>
    <w:multiLevelType w:val="hybridMultilevel"/>
    <w:tmpl w:val="A80C4B8E"/>
    <w:lvl w:ilvl="0" w:tplc="9B581F9E">
      <w:start w:val="1"/>
      <w:numFmt w:val="decimal"/>
      <w:lvlText w:val="%1)"/>
      <w:lvlJc w:val="left"/>
      <w:pPr>
        <w:ind w:left="177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141744"/>
    <w:multiLevelType w:val="hybridMultilevel"/>
    <w:tmpl w:val="32D0DAC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nsid w:val="29A55744"/>
    <w:multiLevelType w:val="multilevel"/>
    <w:tmpl w:val="29DC5080"/>
    <w:lvl w:ilvl="0">
      <w:start w:val="1"/>
      <w:numFmt w:val="decimal"/>
      <w:lvlText w:val="%1."/>
      <w:lvlJc w:val="left"/>
      <w:pPr>
        <w:tabs>
          <w:tab w:val="num" w:pos="1429"/>
        </w:tabs>
        <w:ind w:left="1429" w:hanging="360"/>
      </w:pPr>
    </w:lvl>
    <w:lvl w:ilvl="1">
      <w:start w:val="1"/>
      <w:numFmt w:val="bullet"/>
      <w:lvlText w:val="•"/>
      <w:lvlJc w:val="left"/>
      <w:pPr>
        <w:tabs>
          <w:tab w:val="num" w:pos="2149"/>
        </w:tabs>
        <w:ind w:left="2149" w:hanging="360"/>
      </w:pPr>
      <w:rPr>
        <w:rFonts w:ascii="Arial" w:hAnsi="Arial" w:cs="Arial" w:hint="default"/>
      </w:rPr>
    </w:lvl>
    <w:lvl w:ilvl="2">
      <w:start w:val="1"/>
      <w:numFmt w:val="bullet"/>
      <w:lvlText w:val="•"/>
      <w:lvlJc w:val="left"/>
      <w:pPr>
        <w:tabs>
          <w:tab w:val="num" w:pos="2869"/>
        </w:tabs>
        <w:ind w:left="2869" w:hanging="360"/>
      </w:pPr>
      <w:rPr>
        <w:rFonts w:ascii="Arial" w:hAnsi="Arial" w:cs="Arial" w:hint="default"/>
      </w:rPr>
    </w:lvl>
    <w:lvl w:ilvl="3">
      <w:start w:val="1"/>
      <w:numFmt w:val="bullet"/>
      <w:lvlText w:val="•"/>
      <w:lvlJc w:val="left"/>
      <w:pPr>
        <w:tabs>
          <w:tab w:val="num" w:pos="3589"/>
        </w:tabs>
        <w:ind w:left="3589" w:hanging="360"/>
      </w:pPr>
      <w:rPr>
        <w:rFonts w:ascii="Arial" w:hAnsi="Arial" w:cs="Arial" w:hint="default"/>
      </w:rPr>
    </w:lvl>
    <w:lvl w:ilvl="4">
      <w:start w:val="1"/>
      <w:numFmt w:val="bullet"/>
      <w:lvlText w:val="•"/>
      <w:lvlJc w:val="left"/>
      <w:pPr>
        <w:tabs>
          <w:tab w:val="num" w:pos="4309"/>
        </w:tabs>
        <w:ind w:left="4309" w:hanging="360"/>
      </w:pPr>
      <w:rPr>
        <w:rFonts w:ascii="Arial" w:hAnsi="Arial" w:cs="Arial" w:hint="default"/>
      </w:rPr>
    </w:lvl>
    <w:lvl w:ilvl="5">
      <w:start w:val="1"/>
      <w:numFmt w:val="bullet"/>
      <w:lvlText w:val="•"/>
      <w:lvlJc w:val="left"/>
      <w:pPr>
        <w:tabs>
          <w:tab w:val="num" w:pos="5029"/>
        </w:tabs>
        <w:ind w:left="5029" w:hanging="360"/>
      </w:pPr>
      <w:rPr>
        <w:rFonts w:ascii="Arial" w:hAnsi="Arial" w:cs="Arial" w:hint="default"/>
      </w:rPr>
    </w:lvl>
    <w:lvl w:ilvl="6">
      <w:start w:val="1"/>
      <w:numFmt w:val="bullet"/>
      <w:lvlText w:val="•"/>
      <w:lvlJc w:val="left"/>
      <w:pPr>
        <w:tabs>
          <w:tab w:val="num" w:pos="5749"/>
        </w:tabs>
        <w:ind w:left="5749" w:hanging="360"/>
      </w:pPr>
      <w:rPr>
        <w:rFonts w:ascii="Arial" w:hAnsi="Arial" w:cs="Arial" w:hint="default"/>
      </w:rPr>
    </w:lvl>
    <w:lvl w:ilvl="7">
      <w:start w:val="1"/>
      <w:numFmt w:val="bullet"/>
      <w:lvlText w:val="•"/>
      <w:lvlJc w:val="left"/>
      <w:pPr>
        <w:tabs>
          <w:tab w:val="num" w:pos="6469"/>
        </w:tabs>
        <w:ind w:left="6469" w:hanging="360"/>
      </w:pPr>
      <w:rPr>
        <w:rFonts w:ascii="Arial" w:hAnsi="Arial" w:cs="Arial" w:hint="default"/>
      </w:rPr>
    </w:lvl>
    <w:lvl w:ilvl="8">
      <w:start w:val="1"/>
      <w:numFmt w:val="bullet"/>
      <w:lvlText w:val="•"/>
      <w:lvlJc w:val="left"/>
      <w:pPr>
        <w:tabs>
          <w:tab w:val="num" w:pos="7189"/>
        </w:tabs>
        <w:ind w:left="7189" w:hanging="360"/>
      </w:pPr>
      <w:rPr>
        <w:rFonts w:ascii="Arial" w:hAnsi="Arial" w:cs="Arial" w:hint="default"/>
      </w:rPr>
    </w:lvl>
  </w:abstractNum>
  <w:abstractNum w:abstractNumId="9">
    <w:nsid w:val="35DF68B7"/>
    <w:multiLevelType w:val="hybridMultilevel"/>
    <w:tmpl w:val="F952688E"/>
    <w:lvl w:ilvl="0" w:tplc="040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385B38A2"/>
    <w:multiLevelType w:val="hybridMultilevel"/>
    <w:tmpl w:val="B246BD32"/>
    <w:lvl w:ilvl="0" w:tplc="31420A0C">
      <w:start w:val="9"/>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1">
    <w:nsid w:val="3D2A3A46"/>
    <w:multiLevelType w:val="hybridMultilevel"/>
    <w:tmpl w:val="A79EF42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nsid w:val="44C62C27"/>
    <w:multiLevelType w:val="hybridMultilevel"/>
    <w:tmpl w:val="33F6BFAA"/>
    <w:lvl w:ilvl="0" w:tplc="0416001B">
      <w:start w:val="1"/>
      <w:numFmt w:val="lowerRoman"/>
      <w:lvlText w:val="%1."/>
      <w:lvlJc w:val="righ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3">
    <w:nsid w:val="48937E1C"/>
    <w:multiLevelType w:val="hybridMultilevel"/>
    <w:tmpl w:val="9C107A2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nsid w:val="4CA51405"/>
    <w:multiLevelType w:val="hybridMultilevel"/>
    <w:tmpl w:val="8C10D5F2"/>
    <w:lvl w:ilvl="0" w:tplc="9B581F9E">
      <w:start w:val="1"/>
      <w:numFmt w:val="decimal"/>
      <w:lvlText w:val="%1)"/>
      <w:lvlJc w:val="left"/>
      <w:pPr>
        <w:ind w:left="177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804B31"/>
    <w:multiLevelType w:val="hybridMultilevel"/>
    <w:tmpl w:val="D31ED902"/>
    <w:lvl w:ilvl="0" w:tplc="0409001B">
      <w:start w:val="1"/>
      <w:numFmt w:val="lowerRoman"/>
      <w:lvlText w:val="%1."/>
      <w:lvlJc w:val="right"/>
      <w:pPr>
        <w:ind w:left="3218" w:hanging="180"/>
      </w:pPr>
    </w:lvl>
    <w:lvl w:ilvl="1" w:tplc="0409000F">
      <w:start w:val="1"/>
      <w:numFmt w:val="decimal"/>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BC024848">
      <w:start w:val="1"/>
      <w:numFmt w:val="lowerLetter"/>
      <w:lvlText w:val="%6)"/>
      <w:lvlJc w:val="left"/>
      <w:pPr>
        <w:ind w:left="6188" w:hanging="990"/>
      </w:pPr>
      <w:rPr>
        <w:rFonts w:hint="default"/>
      </w:r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6">
    <w:nsid w:val="58FC1327"/>
    <w:multiLevelType w:val="hybridMultilevel"/>
    <w:tmpl w:val="DC2E5A62"/>
    <w:lvl w:ilvl="0" w:tplc="040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nsid w:val="5C532406"/>
    <w:multiLevelType w:val="hybridMultilevel"/>
    <w:tmpl w:val="79DEBCF0"/>
    <w:lvl w:ilvl="0" w:tplc="04160013">
      <w:start w:val="1"/>
      <w:numFmt w:val="upperRoman"/>
      <w:lvlText w:val="%1."/>
      <w:lvlJc w:val="righ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8">
    <w:nsid w:val="609E5EB5"/>
    <w:multiLevelType w:val="hybridMultilevel"/>
    <w:tmpl w:val="3D228EFE"/>
    <w:lvl w:ilvl="0" w:tplc="1B447AC8">
      <w:start w:val="1"/>
      <w:numFmt w:val="decimal"/>
      <w:lvlText w:val="%1)"/>
      <w:lvlJc w:val="left"/>
      <w:pPr>
        <w:ind w:left="502" w:hanging="360"/>
      </w:pPr>
      <w:rPr>
        <w:rFonts w:asciiTheme="minorHAnsi" w:hAnsiTheme="minorHAnsi" w:hint="default"/>
      </w:rPr>
    </w:lvl>
    <w:lvl w:ilvl="1" w:tplc="04160019" w:tentative="1">
      <w:start w:val="1"/>
      <w:numFmt w:val="lowerLetter"/>
      <w:lvlText w:val="%2."/>
      <w:lvlJc w:val="left"/>
      <w:pPr>
        <w:ind w:left="1438" w:hanging="360"/>
      </w:pPr>
    </w:lvl>
    <w:lvl w:ilvl="2" w:tplc="0416001B" w:tentative="1">
      <w:start w:val="1"/>
      <w:numFmt w:val="lowerRoman"/>
      <w:lvlText w:val="%3."/>
      <w:lvlJc w:val="right"/>
      <w:pPr>
        <w:ind w:left="2158" w:hanging="180"/>
      </w:pPr>
    </w:lvl>
    <w:lvl w:ilvl="3" w:tplc="0416000F" w:tentative="1">
      <w:start w:val="1"/>
      <w:numFmt w:val="decimal"/>
      <w:lvlText w:val="%4."/>
      <w:lvlJc w:val="left"/>
      <w:pPr>
        <w:ind w:left="2878" w:hanging="360"/>
      </w:pPr>
    </w:lvl>
    <w:lvl w:ilvl="4" w:tplc="04160019" w:tentative="1">
      <w:start w:val="1"/>
      <w:numFmt w:val="lowerLetter"/>
      <w:lvlText w:val="%5."/>
      <w:lvlJc w:val="left"/>
      <w:pPr>
        <w:ind w:left="3598" w:hanging="360"/>
      </w:pPr>
    </w:lvl>
    <w:lvl w:ilvl="5" w:tplc="0416001B" w:tentative="1">
      <w:start w:val="1"/>
      <w:numFmt w:val="lowerRoman"/>
      <w:lvlText w:val="%6."/>
      <w:lvlJc w:val="right"/>
      <w:pPr>
        <w:ind w:left="4318" w:hanging="180"/>
      </w:pPr>
    </w:lvl>
    <w:lvl w:ilvl="6" w:tplc="0416000F" w:tentative="1">
      <w:start w:val="1"/>
      <w:numFmt w:val="decimal"/>
      <w:lvlText w:val="%7."/>
      <w:lvlJc w:val="left"/>
      <w:pPr>
        <w:ind w:left="5038" w:hanging="360"/>
      </w:pPr>
    </w:lvl>
    <w:lvl w:ilvl="7" w:tplc="04160019" w:tentative="1">
      <w:start w:val="1"/>
      <w:numFmt w:val="lowerLetter"/>
      <w:lvlText w:val="%8."/>
      <w:lvlJc w:val="left"/>
      <w:pPr>
        <w:ind w:left="5758" w:hanging="360"/>
      </w:pPr>
    </w:lvl>
    <w:lvl w:ilvl="8" w:tplc="0416001B" w:tentative="1">
      <w:start w:val="1"/>
      <w:numFmt w:val="lowerRoman"/>
      <w:lvlText w:val="%9."/>
      <w:lvlJc w:val="right"/>
      <w:pPr>
        <w:ind w:left="6478" w:hanging="180"/>
      </w:pPr>
    </w:lvl>
  </w:abstractNum>
  <w:abstractNum w:abstractNumId="19">
    <w:nsid w:val="665D5046"/>
    <w:multiLevelType w:val="hybridMultilevel"/>
    <w:tmpl w:val="0242E414"/>
    <w:lvl w:ilvl="0" w:tplc="DB781D6A">
      <w:start w:val="1"/>
      <w:numFmt w:val="decimal"/>
      <w:lvlText w:val="%1)"/>
      <w:lvlJc w:val="left"/>
      <w:pPr>
        <w:ind w:left="1776" w:hanging="360"/>
      </w:pPr>
      <w:rPr>
        <w:rFonts w:hint="default"/>
      </w:rPr>
    </w:lvl>
    <w:lvl w:ilvl="1" w:tplc="04160019" w:tentative="1">
      <w:start w:val="1"/>
      <w:numFmt w:val="lowerLetter"/>
      <w:lvlText w:val="%2."/>
      <w:lvlJc w:val="left"/>
      <w:pPr>
        <w:ind w:left="1438" w:hanging="360"/>
      </w:pPr>
    </w:lvl>
    <w:lvl w:ilvl="2" w:tplc="0416001B" w:tentative="1">
      <w:start w:val="1"/>
      <w:numFmt w:val="lowerRoman"/>
      <w:lvlText w:val="%3."/>
      <w:lvlJc w:val="right"/>
      <w:pPr>
        <w:ind w:left="2158" w:hanging="180"/>
      </w:pPr>
    </w:lvl>
    <w:lvl w:ilvl="3" w:tplc="0416000F" w:tentative="1">
      <w:start w:val="1"/>
      <w:numFmt w:val="decimal"/>
      <w:lvlText w:val="%4."/>
      <w:lvlJc w:val="left"/>
      <w:pPr>
        <w:ind w:left="2878" w:hanging="360"/>
      </w:pPr>
    </w:lvl>
    <w:lvl w:ilvl="4" w:tplc="04160019" w:tentative="1">
      <w:start w:val="1"/>
      <w:numFmt w:val="lowerLetter"/>
      <w:lvlText w:val="%5."/>
      <w:lvlJc w:val="left"/>
      <w:pPr>
        <w:ind w:left="3598" w:hanging="360"/>
      </w:pPr>
    </w:lvl>
    <w:lvl w:ilvl="5" w:tplc="0416001B" w:tentative="1">
      <w:start w:val="1"/>
      <w:numFmt w:val="lowerRoman"/>
      <w:lvlText w:val="%6."/>
      <w:lvlJc w:val="right"/>
      <w:pPr>
        <w:ind w:left="4318" w:hanging="180"/>
      </w:pPr>
    </w:lvl>
    <w:lvl w:ilvl="6" w:tplc="0416000F" w:tentative="1">
      <w:start w:val="1"/>
      <w:numFmt w:val="decimal"/>
      <w:lvlText w:val="%7."/>
      <w:lvlJc w:val="left"/>
      <w:pPr>
        <w:ind w:left="5038" w:hanging="360"/>
      </w:pPr>
    </w:lvl>
    <w:lvl w:ilvl="7" w:tplc="04160019" w:tentative="1">
      <w:start w:val="1"/>
      <w:numFmt w:val="lowerLetter"/>
      <w:lvlText w:val="%8."/>
      <w:lvlJc w:val="left"/>
      <w:pPr>
        <w:ind w:left="5758" w:hanging="360"/>
      </w:pPr>
    </w:lvl>
    <w:lvl w:ilvl="8" w:tplc="0416001B" w:tentative="1">
      <w:start w:val="1"/>
      <w:numFmt w:val="lowerRoman"/>
      <w:lvlText w:val="%9."/>
      <w:lvlJc w:val="right"/>
      <w:pPr>
        <w:ind w:left="6478" w:hanging="180"/>
      </w:pPr>
    </w:lvl>
  </w:abstractNum>
  <w:abstractNum w:abstractNumId="20">
    <w:nsid w:val="69D55B13"/>
    <w:multiLevelType w:val="multilevel"/>
    <w:tmpl w:val="6A442384"/>
    <w:lvl w:ilvl="0">
      <w:start w:val="1"/>
      <w:numFmt w:val="upperRoman"/>
      <w:lvlText w:val="%1."/>
      <w:lvlJc w:val="right"/>
      <w:pPr>
        <w:tabs>
          <w:tab w:val="num" w:pos="1429"/>
        </w:tabs>
        <w:ind w:left="1429" w:hanging="360"/>
      </w:pPr>
    </w:lvl>
    <w:lvl w:ilvl="1">
      <w:start w:val="1"/>
      <w:numFmt w:val="bullet"/>
      <w:lvlText w:val=""/>
      <w:lvlJc w:val="left"/>
      <w:pPr>
        <w:tabs>
          <w:tab w:val="num" w:pos="2149"/>
        </w:tabs>
        <w:ind w:left="2149" w:hanging="360"/>
      </w:pPr>
      <w:rPr>
        <w:rFonts w:ascii="Wingdings" w:hAnsi="Wingdings" w:cs="Wingdings"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Wingdings" w:hAnsi="Wingdings" w:cs="Wingdings" w:hint="default"/>
      </w:rPr>
    </w:lvl>
    <w:lvl w:ilvl="4">
      <w:start w:val="1"/>
      <w:numFmt w:val="bullet"/>
      <w:lvlText w:val=""/>
      <w:lvlJc w:val="left"/>
      <w:pPr>
        <w:tabs>
          <w:tab w:val="num" w:pos="4309"/>
        </w:tabs>
        <w:ind w:left="4309" w:hanging="360"/>
      </w:pPr>
      <w:rPr>
        <w:rFonts w:ascii="Wingdings" w:hAnsi="Wingdings" w:cs="Wingdings"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Wingdings" w:hAnsi="Wingdings" w:cs="Wingdings" w:hint="default"/>
      </w:rPr>
    </w:lvl>
    <w:lvl w:ilvl="7">
      <w:start w:val="1"/>
      <w:numFmt w:val="bullet"/>
      <w:lvlText w:val=""/>
      <w:lvlJc w:val="left"/>
      <w:pPr>
        <w:tabs>
          <w:tab w:val="num" w:pos="6469"/>
        </w:tabs>
        <w:ind w:left="6469" w:hanging="360"/>
      </w:pPr>
      <w:rPr>
        <w:rFonts w:ascii="Wingdings" w:hAnsi="Wingdings" w:cs="Wingdings"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21">
    <w:nsid w:val="6C6C288B"/>
    <w:multiLevelType w:val="hybridMultilevel"/>
    <w:tmpl w:val="135AA89E"/>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nsid w:val="73B251DD"/>
    <w:multiLevelType w:val="multilevel"/>
    <w:tmpl w:val="ACDC1A6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761B2970"/>
    <w:multiLevelType w:val="hybridMultilevel"/>
    <w:tmpl w:val="0EE49A70"/>
    <w:lvl w:ilvl="0" w:tplc="5218B784">
      <w:start w:val="1"/>
      <w:numFmt w:val="upperRoman"/>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8A0B62"/>
    <w:multiLevelType w:val="hybridMultilevel"/>
    <w:tmpl w:val="4B4873C0"/>
    <w:lvl w:ilvl="0" w:tplc="A48871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8"/>
  </w:num>
  <w:num w:numId="2">
    <w:abstractNumId w:val="20"/>
  </w:num>
  <w:num w:numId="3">
    <w:abstractNumId w:val="22"/>
  </w:num>
  <w:num w:numId="4">
    <w:abstractNumId w:val="11"/>
  </w:num>
  <w:num w:numId="5">
    <w:abstractNumId w:val="7"/>
  </w:num>
  <w:num w:numId="6">
    <w:abstractNumId w:val="24"/>
  </w:num>
  <w:num w:numId="7">
    <w:abstractNumId w:val="4"/>
  </w:num>
  <w:num w:numId="8">
    <w:abstractNumId w:val="6"/>
  </w:num>
  <w:num w:numId="9">
    <w:abstractNumId w:val="3"/>
  </w:num>
  <w:num w:numId="10">
    <w:abstractNumId w:val="0"/>
  </w:num>
  <w:num w:numId="11">
    <w:abstractNumId w:val="2"/>
  </w:num>
  <w:num w:numId="12">
    <w:abstractNumId w:val="15"/>
  </w:num>
  <w:num w:numId="13">
    <w:abstractNumId w:val="14"/>
  </w:num>
  <w:num w:numId="14">
    <w:abstractNumId w:val="9"/>
  </w:num>
  <w:num w:numId="15">
    <w:abstractNumId w:val="16"/>
  </w:num>
  <w:num w:numId="16">
    <w:abstractNumId w:val="5"/>
  </w:num>
  <w:num w:numId="17">
    <w:abstractNumId w:val="1"/>
  </w:num>
  <w:num w:numId="18">
    <w:abstractNumId w:val="18"/>
  </w:num>
  <w:num w:numId="19">
    <w:abstractNumId w:val="19"/>
  </w:num>
  <w:num w:numId="20">
    <w:abstractNumId w:val="10"/>
  </w:num>
  <w:num w:numId="21">
    <w:abstractNumId w:val="12"/>
  </w:num>
  <w:num w:numId="22">
    <w:abstractNumId w:val="13"/>
  </w:num>
  <w:num w:numId="23">
    <w:abstractNumId w:val="21"/>
  </w:num>
  <w:num w:numId="24">
    <w:abstractNumId w:val="1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81D"/>
    <w:rsid w:val="00000F98"/>
    <w:rsid w:val="00022594"/>
    <w:rsid w:val="000327FD"/>
    <w:rsid w:val="0003379E"/>
    <w:rsid w:val="0004041B"/>
    <w:rsid w:val="0004115A"/>
    <w:rsid w:val="00042670"/>
    <w:rsid w:val="000448DA"/>
    <w:rsid w:val="000454E1"/>
    <w:rsid w:val="00046236"/>
    <w:rsid w:val="0004777D"/>
    <w:rsid w:val="00061F25"/>
    <w:rsid w:val="000761DF"/>
    <w:rsid w:val="000819E1"/>
    <w:rsid w:val="00095594"/>
    <w:rsid w:val="000A0487"/>
    <w:rsid w:val="000A22D2"/>
    <w:rsid w:val="000B3EEE"/>
    <w:rsid w:val="000C0390"/>
    <w:rsid w:val="000D4059"/>
    <w:rsid w:val="000D5B17"/>
    <w:rsid w:val="000E615A"/>
    <w:rsid w:val="000F0554"/>
    <w:rsid w:val="00121EE4"/>
    <w:rsid w:val="001241AC"/>
    <w:rsid w:val="0013394D"/>
    <w:rsid w:val="0014552A"/>
    <w:rsid w:val="00145CFD"/>
    <w:rsid w:val="001506FE"/>
    <w:rsid w:val="00153CD5"/>
    <w:rsid w:val="001720F7"/>
    <w:rsid w:val="0017769D"/>
    <w:rsid w:val="00185760"/>
    <w:rsid w:val="00194975"/>
    <w:rsid w:val="00195837"/>
    <w:rsid w:val="001A7E4F"/>
    <w:rsid w:val="001B11F5"/>
    <w:rsid w:val="001B6A22"/>
    <w:rsid w:val="001C1E14"/>
    <w:rsid w:val="001C358F"/>
    <w:rsid w:val="001D526F"/>
    <w:rsid w:val="002052E4"/>
    <w:rsid w:val="00213FA5"/>
    <w:rsid w:val="00221F84"/>
    <w:rsid w:val="002315EA"/>
    <w:rsid w:val="00244F2B"/>
    <w:rsid w:val="00247A28"/>
    <w:rsid w:val="00252ADC"/>
    <w:rsid w:val="00267FD8"/>
    <w:rsid w:val="00272105"/>
    <w:rsid w:val="00274988"/>
    <w:rsid w:val="002803AF"/>
    <w:rsid w:val="002B2172"/>
    <w:rsid w:val="002C2799"/>
    <w:rsid w:val="002D33F2"/>
    <w:rsid w:val="002D5314"/>
    <w:rsid w:val="002E70B9"/>
    <w:rsid w:val="002F3686"/>
    <w:rsid w:val="002F3B82"/>
    <w:rsid w:val="00305FE3"/>
    <w:rsid w:val="00347B3C"/>
    <w:rsid w:val="00352B03"/>
    <w:rsid w:val="003629A1"/>
    <w:rsid w:val="003647B7"/>
    <w:rsid w:val="00374E8B"/>
    <w:rsid w:val="00377B81"/>
    <w:rsid w:val="003820F0"/>
    <w:rsid w:val="00390800"/>
    <w:rsid w:val="003B0496"/>
    <w:rsid w:val="003B4690"/>
    <w:rsid w:val="003B604E"/>
    <w:rsid w:val="003B68A3"/>
    <w:rsid w:val="003C5CB3"/>
    <w:rsid w:val="003D3FCD"/>
    <w:rsid w:val="003E72EC"/>
    <w:rsid w:val="00422100"/>
    <w:rsid w:val="004410B5"/>
    <w:rsid w:val="004620C2"/>
    <w:rsid w:val="00462456"/>
    <w:rsid w:val="004758DA"/>
    <w:rsid w:val="00490AF5"/>
    <w:rsid w:val="00490E5E"/>
    <w:rsid w:val="004A050C"/>
    <w:rsid w:val="004B5375"/>
    <w:rsid w:val="004C53F2"/>
    <w:rsid w:val="004D7784"/>
    <w:rsid w:val="004E3208"/>
    <w:rsid w:val="00501DCA"/>
    <w:rsid w:val="0051259F"/>
    <w:rsid w:val="00512F9B"/>
    <w:rsid w:val="0053117F"/>
    <w:rsid w:val="00562AD5"/>
    <w:rsid w:val="00583B52"/>
    <w:rsid w:val="00595187"/>
    <w:rsid w:val="005958B7"/>
    <w:rsid w:val="005A0DE8"/>
    <w:rsid w:val="005C491D"/>
    <w:rsid w:val="005C4B50"/>
    <w:rsid w:val="005D7599"/>
    <w:rsid w:val="005E7057"/>
    <w:rsid w:val="005F0AFF"/>
    <w:rsid w:val="00606CE5"/>
    <w:rsid w:val="006146BB"/>
    <w:rsid w:val="0062118A"/>
    <w:rsid w:val="00623212"/>
    <w:rsid w:val="00627149"/>
    <w:rsid w:val="006520A1"/>
    <w:rsid w:val="00654735"/>
    <w:rsid w:val="00675F1D"/>
    <w:rsid w:val="006860E0"/>
    <w:rsid w:val="006962CB"/>
    <w:rsid w:val="006A4DCB"/>
    <w:rsid w:val="006B2225"/>
    <w:rsid w:val="006C6C4A"/>
    <w:rsid w:val="006F0386"/>
    <w:rsid w:val="006F45D3"/>
    <w:rsid w:val="007108AD"/>
    <w:rsid w:val="007210EA"/>
    <w:rsid w:val="007238B4"/>
    <w:rsid w:val="00731CEE"/>
    <w:rsid w:val="007324D2"/>
    <w:rsid w:val="00741DF2"/>
    <w:rsid w:val="00745649"/>
    <w:rsid w:val="0076172B"/>
    <w:rsid w:val="00761BEB"/>
    <w:rsid w:val="007675ED"/>
    <w:rsid w:val="00770A41"/>
    <w:rsid w:val="00771247"/>
    <w:rsid w:val="007A158F"/>
    <w:rsid w:val="007A2CBE"/>
    <w:rsid w:val="007A4A35"/>
    <w:rsid w:val="007A7848"/>
    <w:rsid w:val="007D06BB"/>
    <w:rsid w:val="007E4809"/>
    <w:rsid w:val="007E69BB"/>
    <w:rsid w:val="007F6FC3"/>
    <w:rsid w:val="007F7E2C"/>
    <w:rsid w:val="00810741"/>
    <w:rsid w:val="00816061"/>
    <w:rsid w:val="008204F5"/>
    <w:rsid w:val="008333CA"/>
    <w:rsid w:val="00834607"/>
    <w:rsid w:val="00835674"/>
    <w:rsid w:val="008747FD"/>
    <w:rsid w:val="008771A7"/>
    <w:rsid w:val="008928A8"/>
    <w:rsid w:val="008A0607"/>
    <w:rsid w:val="008A083B"/>
    <w:rsid w:val="008B3BBB"/>
    <w:rsid w:val="008C1271"/>
    <w:rsid w:val="008C15E3"/>
    <w:rsid w:val="008C58ED"/>
    <w:rsid w:val="008E1EC5"/>
    <w:rsid w:val="008E3C4F"/>
    <w:rsid w:val="009064BE"/>
    <w:rsid w:val="00907B16"/>
    <w:rsid w:val="00913B8C"/>
    <w:rsid w:val="00944D3B"/>
    <w:rsid w:val="009476FD"/>
    <w:rsid w:val="00972FE4"/>
    <w:rsid w:val="00986C15"/>
    <w:rsid w:val="00986FAE"/>
    <w:rsid w:val="009B1F63"/>
    <w:rsid w:val="009C19C2"/>
    <w:rsid w:val="009C539C"/>
    <w:rsid w:val="009C5C7B"/>
    <w:rsid w:val="009D06A7"/>
    <w:rsid w:val="009D617B"/>
    <w:rsid w:val="009E1F75"/>
    <w:rsid w:val="009F047F"/>
    <w:rsid w:val="009F1E5C"/>
    <w:rsid w:val="009F24F2"/>
    <w:rsid w:val="009F3612"/>
    <w:rsid w:val="009F57C0"/>
    <w:rsid w:val="009F5844"/>
    <w:rsid w:val="00A27A48"/>
    <w:rsid w:val="00A3253D"/>
    <w:rsid w:val="00A50E78"/>
    <w:rsid w:val="00A53300"/>
    <w:rsid w:val="00A75D50"/>
    <w:rsid w:val="00A844BF"/>
    <w:rsid w:val="00A90B7C"/>
    <w:rsid w:val="00A92F57"/>
    <w:rsid w:val="00A938D8"/>
    <w:rsid w:val="00AA1B9C"/>
    <w:rsid w:val="00AB4FF7"/>
    <w:rsid w:val="00AC4433"/>
    <w:rsid w:val="00AC5B9F"/>
    <w:rsid w:val="00AD0BA6"/>
    <w:rsid w:val="00AD7F3E"/>
    <w:rsid w:val="00AF6AED"/>
    <w:rsid w:val="00AF7C19"/>
    <w:rsid w:val="00B14B14"/>
    <w:rsid w:val="00B2681D"/>
    <w:rsid w:val="00B40DAE"/>
    <w:rsid w:val="00B47C50"/>
    <w:rsid w:val="00B61495"/>
    <w:rsid w:val="00B63E20"/>
    <w:rsid w:val="00B70585"/>
    <w:rsid w:val="00B94C35"/>
    <w:rsid w:val="00B9784A"/>
    <w:rsid w:val="00BA6931"/>
    <w:rsid w:val="00BB4EBC"/>
    <w:rsid w:val="00BC0C7B"/>
    <w:rsid w:val="00BF7503"/>
    <w:rsid w:val="00C25A0D"/>
    <w:rsid w:val="00C30A03"/>
    <w:rsid w:val="00C37837"/>
    <w:rsid w:val="00C60514"/>
    <w:rsid w:val="00C706D5"/>
    <w:rsid w:val="00C73796"/>
    <w:rsid w:val="00C7435D"/>
    <w:rsid w:val="00C86F46"/>
    <w:rsid w:val="00CA34EA"/>
    <w:rsid w:val="00CD69C4"/>
    <w:rsid w:val="00CE2F59"/>
    <w:rsid w:val="00CE6967"/>
    <w:rsid w:val="00D15F39"/>
    <w:rsid w:val="00D162F6"/>
    <w:rsid w:val="00D17CDC"/>
    <w:rsid w:val="00D36CFB"/>
    <w:rsid w:val="00D37E76"/>
    <w:rsid w:val="00D5548D"/>
    <w:rsid w:val="00D673CF"/>
    <w:rsid w:val="00D7147C"/>
    <w:rsid w:val="00D85FA4"/>
    <w:rsid w:val="00DB2A04"/>
    <w:rsid w:val="00DB4DAA"/>
    <w:rsid w:val="00DC0FAD"/>
    <w:rsid w:val="00DC2C6A"/>
    <w:rsid w:val="00DD4FAF"/>
    <w:rsid w:val="00DF5B4D"/>
    <w:rsid w:val="00DF6F98"/>
    <w:rsid w:val="00E00BB3"/>
    <w:rsid w:val="00E16F26"/>
    <w:rsid w:val="00E4213D"/>
    <w:rsid w:val="00E624EE"/>
    <w:rsid w:val="00E65A40"/>
    <w:rsid w:val="00E7407C"/>
    <w:rsid w:val="00E90C30"/>
    <w:rsid w:val="00E951A3"/>
    <w:rsid w:val="00E95A09"/>
    <w:rsid w:val="00EA6B78"/>
    <w:rsid w:val="00EC39BD"/>
    <w:rsid w:val="00ED3B41"/>
    <w:rsid w:val="00EF3484"/>
    <w:rsid w:val="00F0215D"/>
    <w:rsid w:val="00F22522"/>
    <w:rsid w:val="00F345FA"/>
    <w:rsid w:val="00F4528F"/>
    <w:rsid w:val="00F65206"/>
    <w:rsid w:val="00F6701C"/>
    <w:rsid w:val="00F73912"/>
    <w:rsid w:val="00F8413E"/>
    <w:rsid w:val="00F90858"/>
    <w:rsid w:val="00FA3049"/>
    <w:rsid w:val="00FA56E3"/>
    <w:rsid w:val="00FB6029"/>
    <w:rsid w:val="00FC3722"/>
    <w:rsid w:val="00FD6150"/>
    <w:rsid w:val="00FE1C6C"/>
    <w:rsid w:val="00FE38E1"/>
    <w:rsid w:val="00FF3243"/>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FCF7BD-47F1-4BD6-BD45-9FBE8B87B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ABD"/>
    <w:pPr>
      <w:suppressAutoHyphens/>
      <w:spacing w:line="240" w:lineRule="auto"/>
      <w:ind w:firstLine="709"/>
      <w:jc w:val="both"/>
    </w:pPr>
    <w:rPr>
      <w:color w:val="00000A"/>
      <w:sz w:val="22"/>
    </w:rPr>
  </w:style>
  <w:style w:type="paragraph" w:styleId="Ttulo1">
    <w:name w:val="heading 1"/>
    <w:basedOn w:val="Normal"/>
    <w:next w:val="Normal"/>
    <w:link w:val="Ttulo1Char"/>
    <w:uiPriority w:val="9"/>
    <w:qFormat/>
    <w:rsid w:val="001E3AB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9"/>
    <w:unhideWhenUsed/>
    <w:qFormat/>
    <w:rsid w:val="00347B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9"/>
    <w:unhideWhenUsed/>
    <w:qFormat/>
    <w:rsid w:val="00347B3C"/>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E3ABD"/>
    <w:rPr>
      <w:rFonts w:asciiTheme="majorHAnsi" w:eastAsiaTheme="majorEastAsia" w:hAnsiTheme="majorHAnsi" w:cstheme="majorBidi"/>
      <w:color w:val="365F91" w:themeColor="accent1" w:themeShade="BF"/>
      <w:sz w:val="32"/>
      <w:szCs w:val="32"/>
    </w:rPr>
  </w:style>
  <w:style w:type="character" w:customStyle="1" w:styleId="TextodenotaderodapChar">
    <w:name w:val="Texto de nota de rodapé Char"/>
    <w:basedOn w:val="Fontepargpadro"/>
    <w:link w:val="Textodenotaderodap"/>
    <w:uiPriority w:val="99"/>
    <w:semiHidden/>
    <w:rsid w:val="001E3ABD"/>
    <w:rPr>
      <w:sz w:val="20"/>
      <w:szCs w:val="20"/>
    </w:rPr>
  </w:style>
  <w:style w:type="character" w:styleId="Refdenotaderodap">
    <w:name w:val="footnote reference"/>
    <w:basedOn w:val="Fontepargpadro"/>
    <w:uiPriority w:val="99"/>
    <w:semiHidden/>
    <w:unhideWhenUsed/>
    <w:rsid w:val="001E3ABD"/>
    <w:rPr>
      <w:vertAlign w:val="superscript"/>
    </w:rPr>
  </w:style>
  <w:style w:type="character" w:customStyle="1" w:styleId="TextodebaloChar">
    <w:name w:val="Texto de balão Char"/>
    <w:basedOn w:val="Fontepargpadro"/>
    <w:link w:val="Textodebalo"/>
    <w:uiPriority w:val="99"/>
    <w:semiHidden/>
    <w:rsid w:val="001E3ABD"/>
    <w:rPr>
      <w:rFonts w:ascii="Tahoma" w:hAnsi="Tahoma" w:cs="Tahoma"/>
      <w:sz w:val="16"/>
      <w:szCs w:val="16"/>
    </w:rPr>
  </w:style>
  <w:style w:type="character" w:customStyle="1" w:styleId="CabealhoChar">
    <w:name w:val="Cabeçalho Char"/>
    <w:basedOn w:val="Fontepargpadro"/>
    <w:link w:val="Cabealho"/>
    <w:uiPriority w:val="99"/>
    <w:rsid w:val="001E3ABD"/>
  </w:style>
  <w:style w:type="character" w:customStyle="1" w:styleId="RodapChar">
    <w:name w:val="Rodapé Char"/>
    <w:basedOn w:val="Fontepargpadro"/>
    <w:link w:val="Rodap"/>
    <w:uiPriority w:val="99"/>
    <w:rsid w:val="001E3ABD"/>
  </w:style>
  <w:style w:type="character" w:customStyle="1" w:styleId="apple-converted-space">
    <w:name w:val="apple-converted-space"/>
    <w:basedOn w:val="Fontepargpadro"/>
    <w:rsid w:val="003960EE"/>
  </w:style>
  <w:style w:type="character" w:customStyle="1" w:styleId="ListLabel1">
    <w:name w:val="ListLabel 1"/>
    <w:rPr>
      <w:rFonts w:cs="Arial"/>
    </w:rPr>
  </w:style>
  <w:style w:type="character" w:customStyle="1" w:styleId="ListLabel2">
    <w:name w:val="ListLabel 2"/>
    <w:rPr>
      <w:rFonts w:cs="Wingdings"/>
    </w:rPr>
  </w:style>
  <w:style w:type="character" w:customStyle="1" w:styleId="WW8Num3z0">
    <w:name w:val="WW8Num3z0"/>
  </w:style>
  <w:style w:type="character" w:customStyle="1" w:styleId="WW8Num3z1">
    <w:name w:val="WW8Num3z1"/>
    <w:rPr>
      <w:rFonts w:ascii="Arial" w:hAnsi="Arial" w:cs="Arial"/>
    </w:rPr>
  </w:style>
  <w:style w:type="character" w:customStyle="1" w:styleId="WW8Num1z0">
    <w:name w:val="WW8Num1z0"/>
  </w:style>
  <w:style w:type="character" w:customStyle="1" w:styleId="WW8Num1z1">
    <w:name w:val="WW8Num1z1"/>
    <w:rPr>
      <w:rFonts w:ascii="Wingdings" w:hAnsi="Wingdings" w:cs="Wingdings"/>
    </w:rPr>
  </w:style>
  <w:style w:type="character" w:customStyle="1" w:styleId="ListLabel3">
    <w:name w:val="ListLabel 3"/>
    <w:rPr>
      <w:rFonts w:cs="Arial"/>
    </w:rPr>
  </w:style>
  <w:style w:type="character" w:customStyle="1" w:styleId="ListLabel4">
    <w:name w:val="ListLabel 4"/>
    <w:rPr>
      <w:rFonts w:cs="Wingdings"/>
    </w:rPr>
  </w:style>
  <w:style w:type="character" w:customStyle="1" w:styleId="Caracteresdenotaderodap">
    <w:name w:val="Caracteres de nota de rodapé"/>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style>
  <w:style w:type="paragraph" w:styleId="Ttulo">
    <w:name w:val="Title"/>
    <w:basedOn w:val="Normal"/>
    <w:next w:val="Corpodotexto"/>
    <w:link w:val="TtuloChar"/>
    <w:uiPriority w:val="99"/>
    <w:qFormat/>
    <w:pPr>
      <w:keepNext/>
      <w:spacing w:before="240" w:after="120"/>
    </w:pPr>
    <w:rPr>
      <w:rFonts w:ascii="Liberation Sans" w:eastAsia="Microsoft YaHei" w:hAnsi="Liberation Sans" w:cs="Mangal"/>
      <w:sz w:val="28"/>
      <w:szCs w:val="28"/>
    </w:rPr>
  </w:style>
  <w:style w:type="paragraph" w:customStyle="1" w:styleId="Corpodotexto">
    <w:name w:val="Corpo do texto"/>
    <w:basedOn w:val="Normal"/>
    <w:pPr>
      <w:spacing w:after="140" w:line="288" w:lineRule="auto"/>
    </w:pPr>
  </w:style>
  <w:style w:type="paragraph" w:styleId="Lista">
    <w:name w:val="List"/>
    <w:basedOn w:val="Corpodotexto"/>
    <w:rPr>
      <w:rFonts w:cs="Mangal"/>
    </w:rPr>
  </w:style>
  <w:style w:type="paragraph" w:styleId="Legenda">
    <w:name w:val="caption"/>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Ttulododocumento">
    <w:name w:val="Título do documento"/>
    <w:basedOn w:val="Normal"/>
    <w:pPr>
      <w:keepNext/>
      <w:spacing w:before="240" w:after="120"/>
    </w:pPr>
    <w:rPr>
      <w:rFonts w:ascii="Liberation Sans" w:eastAsia="Microsoft YaHei" w:hAnsi="Liberation Sans" w:cs="Mangal"/>
      <w:sz w:val="28"/>
      <w:szCs w:val="28"/>
    </w:rPr>
  </w:style>
  <w:style w:type="paragraph" w:styleId="Textodenotaderodap">
    <w:name w:val="footnote text"/>
    <w:basedOn w:val="Normal"/>
    <w:link w:val="TextodenotaderodapChar"/>
    <w:uiPriority w:val="99"/>
    <w:semiHidden/>
    <w:unhideWhenUsed/>
    <w:rsid w:val="001E3ABD"/>
    <w:rPr>
      <w:sz w:val="20"/>
      <w:szCs w:val="20"/>
    </w:rPr>
  </w:style>
  <w:style w:type="paragraph" w:styleId="PargrafodaLista">
    <w:name w:val="List Paragraph"/>
    <w:basedOn w:val="Normal"/>
    <w:qFormat/>
    <w:pPr>
      <w:ind w:left="720" w:firstLine="0"/>
      <w:contextualSpacing/>
      <w:jc w:val="left"/>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1E3ABD"/>
    <w:rPr>
      <w:rFonts w:ascii="Tahoma" w:hAnsi="Tahoma" w:cs="Tahoma"/>
      <w:sz w:val="16"/>
      <w:szCs w:val="16"/>
    </w:rPr>
  </w:style>
  <w:style w:type="paragraph" w:styleId="Cabealho">
    <w:name w:val="header"/>
    <w:basedOn w:val="Normal"/>
    <w:link w:val="CabealhoChar"/>
    <w:uiPriority w:val="99"/>
    <w:unhideWhenUsed/>
    <w:rsid w:val="001E3ABD"/>
    <w:pPr>
      <w:tabs>
        <w:tab w:val="center" w:pos="4252"/>
        <w:tab w:val="right" w:pos="8504"/>
      </w:tabs>
    </w:pPr>
  </w:style>
  <w:style w:type="paragraph" w:styleId="Rodap">
    <w:name w:val="footer"/>
    <w:basedOn w:val="Normal"/>
    <w:link w:val="RodapChar"/>
    <w:uiPriority w:val="99"/>
    <w:unhideWhenUsed/>
    <w:rsid w:val="001E3ABD"/>
    <w:pPr>
      <w:tabs>
        <w:tab w:val="center" w:pos="4252"/>
        <w:tab w:val="right" w:pos="8504"/>
      </w:tabs>
    </w:pPr>
  </w:style>
  <w:style w:type="paragraph" w:styleId="NormalWeb">
    <w:name w:val="Normal (Web)"/>
    <w:basedOn w:val="Normal"/>
    <w:uiPriority w:val="99"/>
    <w:semiHidden/>
    <w:unhideWhenUsed/>
    <w:rsid w:val="00DB43CC"/>
    <w:pPr>
      <w:spacing w:before="280" w:after="280"/>
      <w:ind w:firstLine="0"/>
      <w:jc w:val="left"/>
    </w:pPr>
    <w:rPr>
      <w:rFonts w:ascii="Times New Roman" w:eastAsia="Times New Roman" w:hAnsi="Times New Roman" w:cs="Times New Roman"/>
      <w:sz w:val="24"/>
      <w:szCs w:val="24"/>
      <w:lang w:eastAsia="pt-BR"/>
    </w:rPr>
  </w:style>
  <w:style w:type="paragraph" w:customStyle="1" w:styleId="Notaderodap">
    <w:name w:val="Nota de rodapé"/>
    <w:basedOn w:val="Normal"/>
  </w:style>
  <w:style w:type="numbering" w:customStyle="1" w:styleId="WW8Num3">
    <w:name w:val="WW8Num3"/>
  </w:style>
  <w:style w:type="numbering" w:customStyle="1" w:styleId="WW8Num1">
    <w:name w:val="WW8Num1"/>
  </w:style>
  <w:style w:type="paragraph" w:styleId="Textodenotadefim">
    <w:name w:val="endnote text"/>
    <w:basedOn w:val="Normal"/>
    <w:link w:val="TextodenotadefimChar"/>
    <w:uiPriority w:val="99"/>
    <w:semiHidden/>
    <w:unhideWhenUsed/>
    <w:rsid w:val="008747FD"/>
    <w:rPr>
      <w:sz w:val="20"/>
      <w:szCs w:val="20"/>
    </w:rPr>
  </w:style>
  <w:style w:type="character" w:customStyle="1" w:styleId="TextodenotadefimChar">
    <w:name w:val="Texto de nota de fim Char"/>
    <w:basedOn w:val="Fontepargpadro"/>
    <w:link w:val="Textodenotadefim"/>
    <w:uiPriority w:val="99"/>
    <w:semiHidden/>
    <w:rsid w:val="008747FD"/>
    <w:rPr>
      <w:color w:val="00000A"/>
      <w:szCs w:val="20"/>
    </w:rPr>
  </w:style>
  <w:style w:type="character" w:styleId="Refdenotadefim">
    <w:name w:val="endnote reference"/>
    <w:basedOn w:val="Fontepargpadro"/>
    <w:uiPriority w:val="99"/>
    <w:semiHidden/>
    <w:unhideWhenUsed/>
    <w:rsid w:val="008747FD"/>
    <w:rPr>
      <w:vertAlign w:val="superscript"/>
    </w:rPr>
  </w:style>
  <w:style w:type="character" w:customStyle="1" w:styleId="Ttulo2Char">
    <w:name w:val="Título 2 Char"/>
    <w:basedOn w:val="Fontepargpadro"/>
    <w:link w:val="Ttulo2"/>
    <w:uiPriority w:val="9"/>
    <w:semiHidden/>
    <w:rsid w:val="00347B3C"/>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347B3C"/>
    <w:rPr>
      <w:rFonts w:asciiTheme="majorHAnsi" w:eastAsiaTheme="majorEastAsia" w:hAnsiTheme="majorHAnsi" w:cstheme="majorBidi"/>
      <w:b/>
      <w:bCs/>
      <w:color w:val="4F81BD" w:themeColor="accent1"/>
      <w:sz w:val="22"/>
    </w:rPr>
  </w:style>
  <w:style w:type="character" w:styleId="Nmerodepgina">
    <w:name w:val="page number"/>
    <w:basedOn w:val="Fontepargpadro"/>
    <w:uiPriority w:val="99"/>
    <w:semiHidden/>
    <w:rsid w:val="00347B3C"/>
  </w:style>
  <w:style w:type="paragraph" w:styleId="Textoembloco">
    <w:name w:val="Block Text"/>
    <w:basedOn w:val="Normal"/>
    <w:uiPriority w:val="99"/>
    <w:semiHidden/>
    <w:rsid w:val="00347B3C"/>
    <w:pPr>
      <w:pBdr>
        <w:bottom w:val="single" w:sz="30" w:space="1" w:color="auto"/>
      </w:pBdr>
      <w:tabs>
        <w:tab w:val="right" w:leader="dot" w:pos="8222"/>
      </w:tabs>
      <w:suppressAutoHyphens w:val="0"/>
      <w:ind w:left="2552" w:right="2409" w:firstLine="0"/>
      <w:jc w:val="center"/>
    </w:pPr>
    <w:rPr>
      <w:rFonts w:ascii="Univers" w:eastAsia="Times New Roman" w:hAnsi="Univers" w:cs="Univers"/>
      <w:color w:val="auto"/>
      <w:position w:val="2"/>
      <w:sz w:val="28"/>
      <w:szCs w:val="28"/>
      <w:lang w:eastAsia="pt-BR"/>
    </w:rPr>
  </w:style>
  <w:style w:type="character" w:customStyle="1" w:styleId="TtuloChar">
    <w:name w:val="Título Char"/>
    <w:link w:val="Ttulo"/>
    <w:uiPriority w:val="10"/>
    <w:rsid w:val="00347B3C"/>
    <w:rPr>
      <w:rFonts w:ascii="Liberation Sans" w:eastAsia="Microsoft YaHei" w:hAnsi="Liberation Sans" w:cs="Mangal"/>
      <w:color w:val="00000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943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FA1FB-E542-4557-A08B-A959C4A43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18</Pages>
  <Words>2762</Words>
  <Characters>14915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IBGE</Company>
  <LinksUpToDate>false</LinksUpToDate>
  <CharactersWithSpaces>17642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Cimar Azeredo Pereira</dc:creator>
  <cp:lastModifiedBy>Angela Maria Broqua Mello</cp:lastModifiedBy>
  <cp:revision>26</cp:revision>
  <cp:lastPrinted>2016-11-21T13:12:00Z</cp:lastPrinted>
  <dcterms:created xsi:type="dcterms:W3CDTF">2016-11-21T13:00:00Z</dcterms:created>
  <dcterms:modified xsi:type="dcterms:W3CDTF">2016-11-21T14:01:00Z</dcterms:modified>
  <dc:language>pt-BR</dc:language>
</cp:coreProperties>
</file>